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4B76A">
      <w:pPr>
        <w:spacing w:before="156" w:beforeLines="50" w:line="480" w:lineRule="auto"/>
        <w:jc w:val="center"/>
        <w:rPr>
          <w:rFonts w:hint="eastAsia" w:ascii="方正小标宋简体" w:eastAsia="方正小标宋简体"/>
          <w:spacing w:val="-20"/>
          <w:sz w:val="44"/>
          <w:szCs w:val="44"/>
          <w:lang w:eastAsia="zh-CN"/>
        </w:rPr>
      </w:pPr>
      <w:r>
        <w:rPr>
          <w:rFonts w:hint="eastAsia" w:ascii="方正小标宋简体" w:eastAsia="方正小标宋简体"/>
          <w:spacing w:val="-20"/>
          <w:sz w:val="44"/>
          <w:szCs w:val="44"/>
          <w:lang w:eastAsia="zh-CN"/>
        </w:rPr>
        <w:t>济南鲍德冶金石灰石有限公司</w:t>
      </w:r>
    </w:p>
    <w:p w14:paraId="22A24179">
      <w:pPr>
        <w:spacing w:before="156" w:beforeLines="50" w:line="480" w:lineRule="auto"/>
        <w:jc w:val="center"/>
        <w:rPr>
          <w:rFonts w:hint="eastAsia" w:ascii="方正小标宋简体" w:eastAsia="方正小标宋简体"/>
          <w:spacing w:val="-20"/>
          <w:sz w:val="44"/>
          <w:szCs w:val="44"/>
          <w:lang w:eastAsia="zh-CN"/>
        </w:rPr>
      </w:pPr>
      <w:r>
        <w:rPr>
          <w:rFonts w:hint="eastAsia" w:ascii="方正小标宋简体" w:eastAsia="方正小标宋简体"/>
          <w:spacing w:val="-20"/>
          <w:sz w:val="44"/>
          <w:szCs w:val="44"/>
          <w:lang w:val="en-US" w:eastAsia="zh-CN"/>
        </w:rPr>
        <w:t>汽车吊租赁服务采购</w:t>
      </w:r>
      <w:r>
        <w:rPr>
          <w:rFonts w:hint="eastAsia" w:ascii="方正小标宋简体" w:eastAsia="方正小标宋简体"/>
          <w:spacing w:val="-20"/>
          <w:sz w:val="44"/>
          <w:szCs w:val="44"/>
        </w:rPr>
        <w:t>竞争性谈判</w:t>
      </w:r>
      <w:r>
        <w:rPr>
          <w:rFonts w:hint="eastAsia" w:ascii="方正小标宋简体" w:eastAsia="方正小标宋简体"/>
          <w:spacing w:val="-20"/>
          <w:sz w:val="44"/>
          <w:szCs w:val="44"/>
          <w:lang w:val="en-US" w:eastAsia="zh-CN"/>
        </w:rPr>
        <w:t>公告</w:t>
      </w:r>
    </w:p>
    <w:p w14:paraId="437E8575">
      <w:pPr>
        <w:spacing w:before="156" w:beforeLines="50" w:line="480" w:lineRule="auto"/>
        <w:jc w:val="center"/>
        <w:rPr>
          <w:rFonts w:ascii="仿宋_GB2312" w:hAnsi="仿宋_GB2312" w:eastAsia="仿宋_GB2312" w:cs="仿宋_GB2312"/>
          <w:bCs/>
          <w:spacing w:val="-20"/>
          <w:sz w:val="30"/>
          <w:szCs w:val="30"/>
        </w:rPr>
      </w:pPr>
      <w:r>
        <w:rPr>
          <w:rFonts w:hint="eastAsia" w:ascii="仿宋_GB2312" w:hAnsi="仿宋_GB2312" w:eastAsia="仿宋_GB2312" w:cs="仿宋_GB2312"/>
          <w:bCs/>
          <w:spacing w:val="-20"/>
          <w:sz w:val="30"/>
          <w:szCs w:val="30"/>
        </w:rPr>
        <w:t>(编号：</w:t>
      </w:r>
      <w:r>
        <w:rPr>
          <w:rFonts w:ascii="仿宋_GB2312" w:hAnsi="仿宋_GB2312" w:eastAsia="仿宋_GB2312" w:cs="仿宋_GB2312"/>
          <w:bCs/>
          <w:spacing w:val="-20"/>
          <w:sz w:val="30"/>
          <w:szCs w:val="30"/>
        </w:rPr>
        <w:t xml:space="preserve">   </w:t>
      </w:r>
      <w:r>
        <w:rPr>
          <w:rFonts w:hint="eastAsia" w:ascii="仿宋_GB2312" w:hAnsi="仿宋_GB2312" w:eastAsia="仿宋_GB2312" w:cs="仿宋_GB2312"/>
          <w:bCs/>
          <w:spacing w:val="-20"/>
          <w:sz w:val="30"/>
          <w:szCs w:val="30"/>
          <w:lang w:val="en-US" w:eastAsia="zh-CN"/>
        </w:rPr>
        <w:t>1253251215001</w:t>
      </w:r>
      <w:r>
        <w:rPr>
          <w:rFonts w:ascii="仿宋_GB2312" w:hAnsi="仿宋_GB2312" w:eastAsia="仿宋_GB2312" w:cs="仿宋_GB2312"/>
          <w:bCs/>
          <w:spacing w:val="-20"/>
          <w:sz w:val="30"/>
          <w:szCs w:val="30"/>
        </w:rPr>
        <w:t xml:space="preserve">  </w:t>
      </w:r>
      <w:r>
        <w:rPr>
          <w:rFonts w:hint="eastAsia" w:ascii="仿宋_GB2312" w:hAnsi="仿宋_GB2312" w:eastAsia="仿宋_GB2312" w:cs="仿宋_GB2312"/>
          <w:bCs/>
          <w:spacing w:val="-20"/>
          <w:sz w:val="30"/>
          <w:szCs w:val="30"/>
        </w:rPr>
        <w:t>）</w:t>
      </w:r>
    </w:p>
    <w:p w14:paraId="581B5302">
      <w:pPr>
        <w:adjustRightInd w:val="0"/>
        <w:snapToGrid w:val="0"/>
        <w:spacing w:line="20" w:lineRule="exact"/>
        <w:ind w:firstLine="1960" w:firstLineChars="700"/>
        <w:rPr>
          <w:rFonts w:eastAsia="楷体_GB2312"/>
          <w:sz w:val="28"/>
        </w:rPr>
      </w:pPr>
    </w:p>
    <w:p w14:paraId="5A059C6F">
      <w:pPr>
        <w:adjustRightInd w:val="0"/>
        <w:snapToGrid w:val="0"/>
        <w:spacing w:line="20" w:lineRule="exact"/>
        <w:ind w:firstLine="1960" w:firstLineChars="700"/>
        <w:rPr>
          <w:rFonts w:eastAsia="楷体_GB2312"/>
          <w:sz w:val="28"/>
        </w:rPr>
      </w:pPr>
    </w:p>
    <w:p w14:paraId="494BB6B2">
      <w:pPr>
        <w:adjustRightInd w:val="0"/>
        <w:snapToGrid w:val="0"/>
        <w:spacing w:line="20" w:lineRule="exact"/>
        <w:ind w:firstLine="1960" w:firstLineChars="700"/>
        <w:rPr>
          <w:rFonts w:eastAsia="楷体_GB2312"/>
          <w:sz w:val="28"/>
        </w:rPr>
      </w:pPr>
    </w:p>
    <w:p w14:paraId="7737949D">
      <w:pPr>
        <w:adjustRightInd w:val="0"/>
        <w:snapToGrid w:val="0"/>
        <w:spacing w:line="20" w:lineRule="exact"/>
        <w:ind w:firstLine="1960" w:firstLineChars="700"/>
        <w:rPr>
          <w:rFonts w:eastAsia="楷体_GB2312"/>
          <w:sz w:val="28"/>
        </w:rPr>
      </w:pPr>
    </w:p>
    <w:p w14:paraId="2B819320">
      <w:pPr>
        <w:adjustRightInd w:val="0"/>
        <w:snapToGrid w:val="0"/>
        <w:spacing w:line="20" w:lineRule="exact"/>
        <w:ind w:firstLine="1960" w:firstLineChars="700"/>
        <w:rPr>
          <w:rFonts w:eastAsia="楷体_GB2312"/>
          <w:sz w:val="28"/>
        </w:rPr>
      </w:pPr>
    </w:p>
    <w:p w14:paraId="1A8C620C">
      <w:pPr>
        <w:adjustRightInd w:val="0"/>
        <w:snapToGrid w:val="0"/>
        <w:spacing w:line="20" w:lineRule="exact"/>
        <w:ind w:firstLine="1960" w:firstLineChars="700"/>
        <w:rPr>
          <w:rFonts w:eastAsia="楷体_GB2312"/>
          <w:sz w:val="28"/>
        </w:rPr>
      </w:pPr>
    </w:p>
    <w:p w14:paraId="3531E6D1">
      <w:pPr>
        <w:adjustRightInd w:val="0"/>
        <w:snapToGrid w:val="0"/>
        <w:spacing w:line="20" w:lineRule="exact"/>
        <w:ind w:firstLine="1960" w:firstLineChars="700"/>
        <w:rPr>
          <w:rFonts w:eastAsia="楷体_GB2312"/>
          <w:sz w:val="28"/>
        </w:rPr>
      </w:pPr>
    </w:p>
    <w:p w14:paraId="0B95EC17">
      <w:pPr>
        <w:adjustRightInd w:val="0"/>
        <w:snapToGrid w:val="0"/>
        <w:spacing w:line="20" w:lineRule="exact"/>
        <w:ind w:firstLine="1960" w:firstLineChars="700"/>
        <w:rPr>
          <w:rFonts w:eastAsia="楷体_GB2312"/>
          <w:sz w:val="28"/>
        </w:rPr>
      </w:pPr>
    </w:p>
    <w:p w14:paraId="372D1DA6">
      <w:pPr>
        <w:adjustRightInd w:val="0"/>
        <w:snapToGrid w:val="0"/>
        <w:spacing w:line="20" w:lineRule="exact"/>
        <w:ind w:firstLine="1960" w:firstLineChars="700"/>
        <w:rPr>
          <w:rFonts w:eastAsia="楷体_GB2312"/>
          <w:sz w:val="28"/>
        </w:rPr>
      </w:pPr>
    </w:p>
    <w:p w14:paraId="72C4E87F">
      <w:pPr>
        <w:spacing w:line="800" w:lineRule="exact"/>
        <w:jc w:val="center"/>
        <w:rPr>
          <w:rFonts w:ascii="仿宋_GB2312" w:eastAsia="仿宋_GB2312"/>
          <w:b/>
          <w:sz w:val="32"/>
          <w:szCs w:val="32"/>
        </w:rPr>
      </w:pPr>
    </w:p>
    <w:p w14:paraId="6CDCDF73">
      <w:pPr>
        <w:spacing w:line="800" w:lineRule="exact"/>
        <w:jc w:val="center"/>
        <w:rPr>
          <w:rFonts w:ascii="仿宋_GB2312" w:eastAsia="仿宋_GB2312"/>
          <w:b/>
          <w:sz w:val="32"/>
          <w:szCs w:val="32"/>
        </w:rPr>
      </w:pPr>
    </w:p>
    <w:p w14:paraId="7574AFF2">
      <w:pPr>
        <w:spacing w:line="800" w:lineRule="exact"/>
        <w:jc w:val="center"/>
        <w:rPr>
          <w:rFonts w:ascii="仿宋_GB2312" w:eastAsia="仿宋_GB2312"/>
          <w:b/>
          <w:sz w:val="32"/>
          <w:szCs w:val="32"/>
        </w:rPr>
      </w:pPr>
    </w:p>
    <w:p w14:paraId="056E9595">
      <w:pPr>
        <w:spacing w:line="800" w:lineRule="exact"/>
        <w:jc w:val="center"/>
        <w:rPr>
          <w:rFonts w:ascii="仿宋_GB2312" w:eastAsia="仿宋_GB2312"/>
          <w:b/>
          <w:sz w:val="32"/>
          <w:szCs w:val="32"/>
        </w:rPr>
      </w:pPr>
    </w:p>
    <w:p w14:paraId="4BB1671C">
      <w:pPr>
        <w:spacing w:line="800" w:lineRule="exact"/>
        <w:jc w:val="center"/>
        <w:rPr>
          <w:rFonts w:ascii="仿宋_GB2312" w:eastAsia="仿宋_GB2312"/>
          <w:b/>
          <w:sz w:val="32"/>
          <w:szCs w:val="32"/>
        </w:rPr>
      </w:pPr>
    </w:p>
    <w:p w14:paraId="37BEC53D">
      <w:pPr>
        <w:spacing w:line="800" w:lineRule="exact"/>
        <w:jc w:val="center"/>
        <w:rPr>
          <w:rFonts w:hint="eastAsia" w:ascii="仿宋_GB2312" w:eastAsia="仿宋_GB2312"/>
          <w:b/>
          <w:sz w:val="32"/>
          <w:szCs w:val="32"/>
          <w:lang w:eastAsia="zh-CN"/>
        </w:rPr>
      </w:pPr>
      <w:r>
        <w:rPr>
          <w:rFonts w:hint="eastAsia" w:ascii="仿宋_GB2312" w:eastAsia="仿宋_GB2312"/>
          <w:b/>
          <w:sz w:val="32"/>
          <w:szCs w:val="32"/>
        </w:rPr>
        <w:t>发包人：</w:t>
      </w:r>
      <w:r>
        <w:rPr>
          <w:rFonts w:hint="eastAsia" w:ascii="仿宋_GB2312" w:eastAsia="仿宋_GB2312"/>
          <w:b/>
          <w:sz w:val="32"/>
          <w:szCs w:val="32"/>
          <w:lang w:eastAsia="zh-CN"/>
        </w:rPr>
        <w:t>济南鲍德冶金石灰石有限公司</w:t>
      </w:r>
    </w:p>
    <w:p w14:paraId="65C24524">
      <w:pPr>
        <w:spacing w:line="800" w:lineRule="exact"/>
        <w:jc w:val="center"/>
        <w:rPr>
          <w:rFonts w:ascii="仿宋_GB2312" w:eastAsia="仿宋_GB2312"/>
          <w:b/>
          <w:sz w:val="32"/>
          <w:szCs w:val="32"/>
          <w:u w:val="single"/>
        </w:rPr>
      </w:pPr>
      <w:r>
        <w:rPr>
          <w:rFonts w:hint="eastAsia" w:ascii="仿宋_GB2312" w:eastAsia="仿宋_GB2312"/>
          <w:b/>
          <w:sz w:val="32"/>
          <w:szCs w:val="32"/>
        </w:rPr>
        <w:t>日期: 202</w:t>
      </w:r>
      <w:r>
        <w:rPr>
          <w:rFonts w:hint="eastAsia" w:ascii="仿宋_GB2312" w:eastAsia="仿宋_GB2312"/>
          <w:b/>
          <w:sz w:val="32"/>
          <w:szCs w:val="32"/>
          <w:lang w:val="en-US" w:eastAsia="zh-CN"/>
        </w:rPr>
        <w:t>5</w:t>
      </w:r>
      <w:r>
        <w:rPr>
          <w:rFonts w:hint="eastAsia" w:ascii="仿宋_GB2312" w:eastAsia="仿宋_GB2312"/>
          <w:b/>
          <w:sz w:val="32"/>
          <w:szCs w:val="32"/>
        </w:rPr>
        <w:t>年</w:t>
      </w:r>
      <w:r>
        <w:rPr>
          <w:rFonts w:hint="eastAsia" w:ascii="仿宋_GB2312" w:eastAsia="仿宋_GB2312"/>
          <w:b/>
          <w:sz w:val="32"/>
          <w:szCs w:val="32"/>
          <w:lang w:val="en-US" w:eastAsia="zh-CN"/>
        </w:rPr>
        <w:t>12</w:t>
      </w:r>
      <w:r>
        <w:rPr>
          <w:rFonts w:hint="eastAsia" w:ascii="仿宋_GB2312" w:eastAsia="仿宋_GB2312"/>
          <w:b/>
          <w:sz w:val="32"/>
          <w:szCs w:val="32"/>
        </w:rPr>
        <w:t>月</w:t>
      </w:r>
    </w:p>
    <w:p w14:paraId="430DED9D">
      <w:pPr>
        <w:spacing w:line="740" w:lineRule="exact"/>
        <w:ind w:left="210" w:leftChars="100" w:firstLine="3602" w:firstLineChars="750"/>
        <w:rPr>
          <w:b/>
          <w:sz w:val="48"/>
          <w:szCs w:val="48"/>
        </w:rPr>
      </w:pPr>
    </w:p>
    <w:p w14:paraId="31507456">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bookmarkStart w:id="0" w:name="_Hlk122181574"/>
    </w:p>
    <w:p w14:paraId="2AA1B779">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p>
    <w:p w14:paraId="3E1C89D4">
      <w:pPr>
        <w:widowControl/>
        <w:tabs>
          <w:tab w:val="left" w:pos="1843"/>
        </w:tabs>
        <w:autoSpaceDE w:val="0"/>
        <w:autoSpaceDN w:val="0"/>
        <w:adjustRightInd w:val="0"/>
        <w:spacing w:before="156" w:beforeLines="50"/>
        <w:jc w:val="center"/>
        <w:rPr>
          <w:rFonts w:hint="eastAsia" w:ascii="仿宋" w:hAnsi="仿宋" w:eastAsia="仿宋" w:cs="Arial Unicode MS"/>
          <w:kern w:val="0"/>
          <w:sz w:val="32"/>
          <w:szCs w:val="32"/>
          <w:lang w:val="zh-CN"/>
        </w:rPr>
      </w:pPr>
    </w:p>
    <w:p w14:paraId="198726F9">
      <w:pPr>
        <w:widowControl/>
        <w:tabs>
          <w:tab w:val="left" w:pos="1843"/>
        </w:tabs>
        <w:autoSpaceDE w:val="0"/>
        <w:autoSpaceDN w:val="0"/>
        <w:adjustRightInd w:val="0"/>
        <w:spacing w:before="156" w:beforeLines="50"/>
        <w:jc w:val="center"/>
        <w:rPr>
          <w:rFonts w:hint="eastAsia" w:ascii="仿宋" w:hAnsi="仿宋" w:eastAsia="仿宋" w:cs="Arial Unicode MS"/>
          <w:b/>
          <w:bCs/>
          <w:kern w:val="0"/>
          <w:sz w:val="32"/>
          <w:szCs w:val="32"/>
          <w:lang w:val="zh-CN"/>
        </w:rPr>
      </w:pPr>
    </w:p>
    <w:p w14:paraId="4A56C1B2">
      <w:pPr>
        <w:widowControl/>
        <w:tabs>
          <w:tab w:val="left" w:pos="1843"/>
        </w:tabs>
        <w:autoSpaceDE w:val="0"/>
        <w:autoSpaceDN w:val="0"/>
        <w:adjustRightInd w:val="0"/>
        <w:spacing w:before="156" w:beforeLines="50"/>
        <w:jc w:val="center"/>
        <w:rPr>
          <w:rFonts w:hint="eastAsia" w:ascii="仿宋" w:hAnsi="仿宋" w:eastAsia="仿宋" w:cs="Arial Unicode MS"/>
          <w:b/>
          <w:bCs/>
          <w:kern w:val="0"/>
          <w:sz w:val="32"/>
          <w:szCs w:val="32"/>
          <w:lang w:val="en-US" w:eastAsia="zh-CN"/>
        </w:rPr>
      </w:pPr>
      <w:r>
        <w:rPr>
          <w:rFonts w:hint="eastAsia" w:ascii="仿宋" w:hAnsi="仿宋" w:eastAsia="仿宋" w:cs="Arial Unicode MS"/>
          <w:b/>
          <w:bCs/>
          <w:kern w:val="0"/>
          <w:sz w:val="32"/>
          <w:szCs w:val="32"/>
          <w:lang w:val="zh-CN"/>
        </w:rPr>
        <w:t>济南鲍德冶金石灰石有限公司</w:t>
      </w:r>
      <w:r>
        <w:rPr>
          <w:rFonts w:hint="eastAsia" w:ascii="仿宋" w:hAnsi="仿宋" w:eastAsia="仿宋" w:cs="Arial Unicode MS"/>
          <w:b/>
          <w:bCs/>
          <w:kern w:val="0"/>
          <w:sz w:val="32"/>
          <w:szCs w:val="32"/>
          <w:lang w:val="en-US" w:eastAsia="zh-CN"/>
        </w:rPr>
        <w:t>汽车吊租赁服务</w:t>
      </w:r>
    </w:p>
    <w:p w14:paraId="356C79F3">
      <w:pPr>
        <w:widowControl/>
        <w:tabs>
          <w:tab w:val="left" w:pos="1843"/>
        </w:tabs>
        <w:autoSpaceDE w:val="0"/>
        <w:autoSpaceDN w:val="0"/>
        <w:adjustRightInd w:val="0"/>
        <w:spacing w:before="156" w:beforeLines="50"/>
        <w:jc w:val="center"/>
        <w:rPr>
          <w:rFonts w:ascii="仿宋" w:hAnsi="仿宋" w:eastAsia="仿宋"/>
          <w:b/>
          <w:bCs/>
          <w:kern w:val="0"/>
          <w:sz w:val="32"/>
          <w:szCs w:val="32"/>
        </w:rPr>
      </w:pPr>
      <w:r>
        <w:rPr>
          <w:rFonts w:hint="eastAsia" w:ascii="仿宋" w:hAnsi="仿宋" w:eastAsia="仿宋" w:cs="Arial Unicode MS"/>
          <w:b/>
          <w:bCs/>
          <w:kern w:val="0"/>
          <w:sz w:val="32"/>
          <w:szCs w:val="32"/>
          <w:lang w:val="zh-CN"/>
        </w:rPr>
        <w:t>采购</w:t>
      </w:r>
      <w:bookmarkEnd w:id="0"/>
      <w:r>
        <w:rPr>
          <w:rFonts w:hint="eastAsia" w:ascii="仿宋" w:hAnsi="仿宋" w:eastAsia="仿宋" w:cs="Arial Unicode MS"/>
          <w:b/>
          <w:bCs/>
          <w:kern w:val="0"/>
          <w:sz w:val="32"/>
          <w:szCs w:val="32"/>
          <w:lang w:val="zh-CN"/>
        </w:rPr>
        <w:t>竞争性谈判公告</w:t>
      </w:r>
    </w:p>
    <w:p w14:paraId="220467BC">
      <w:pPr>
        <w:spacing w:line="360" w:lineRule="auto"/>
        <w:ind w:firstLine="562" w:firstLineChars="200"/>
        <w:rPr>
          <w:rFonts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 xml:space="preserve">一、竞争性谈判编号： </w:t>
      </w:r>
      <w:r>
        <w:rPr>
          <w:rFonts w:ascii="仿宋_GB2312" w:hAnsi="仿宋_GB2312" w:eastAsia="仿宋_GB2312" w:cs="仿宋_GB2312"/>
          <w:b/>
          <w:bCs/>
          <w:sz w:val="28"/>
          <w:szCs w:val="28"/>
          <w:lang w:val="zh-CN"/>
        </w:rPr>
        <w:t xml:space="preserve"> </w:t>
      </w:r>
      <w:r>
        <w:rPr>
          <w:rFonts w:hint="eastAsia" w:ascii="仿宋_GB2312" w:hAnsi="仿宋_GB2312" w:eastAsia="仿宋_GB2312" w:cs="仿宋_GB2312"/>
          <w:b/>
          <w:bCs/>
          <w:sz w:val="28"/>
          <w:szCs w:val="28"/>
          <w:lang w:val="en-US" w:eastAsia="zh-CN"/>
        </w:rPr>
        <w:t>1253251215001</w:t>
      </w:r>
      <w:r>
        <w:rPr>
          <w:rFonts w:ascii="仿宋_GB2312" w:hAnsi="仿宋_GB2312" w:eastAsia="仿宋_GB2312" w:cs="仿宋_GB2312"/>
          <w:sz w:val="28"/>
          <w:szCs w:val="28"/>
          <w:lang w:val="zh-CN"/>
        </w:rPr>
        <w:t xml:space="preserve">   </w:t>
      </w:r>
    </w:p>
    <w:p w14:paraId="1DD6B28B">
      <w:pPr>
        <w:spacing w:line="360" w:lineRule="auto"/>
        <w:ind w:firstLine="562"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二、竞争性谈判名称：</w:t>
      </w:r>
      <w:r>
        <w:rPr>
          <w:rFonts w:hint="eastAsia" w:ascii="仿宋_GB2312" w:hAnsi="仿宋_GB2312" w:eastAsia="仿宋_GB2312" w:cs="仿宋_GB2312"/>
          <w:sz w:val="28"/>
          <w:szCs w:val="28"/>
          <w:lang w:val="zh-CN"/>
        </w:rPr>
        <w:t>济南鲍德冶金石灰</w:t>
      </w:r>
      <w:bookmarkStart w:id="1" w:name="_GoBack"/>
      <w:bookmarkEnd w:id="1"/>
      <w:r>
        <w:rPr>
          <w:rFonts w:hint="eastAsia" w:ascii="仿宋_GB2312" w:hAnsi="仿宋_GB2312" w:eastAsia="仿宋_GB2312" w:cs="仿宋_GB2312"/>
          <w:sz w:val="28"/>
          <w:szCs w:val="28"/>
          <w:lang w:val="zh-CN"/>
        </w:rPr>
        <w:t>石有限公司</w:t>
      </w:r>
      <w:r>
        <w:rPr>
          <w:rFonts w:hint="eastAsia" w:ascii="仿宋_GB2312" w:hAnsi="仿宋_GB2312" w:eastAsia="仿宋_GB2312" w:cs="仿宋_GB2312"/>
          <w:sz w:val="28"/>
          <w:szCs w:val="28"/>
          <w:lang w:val="en-US" w:eastAsia="zh-CN"/>
        </w:rPr>
        <w:t>汽车吊租赁服务</w:t>
      </w:r>
      <w:r>
        <w:rPr>
          <w:rFonts w:hint="eastAsia" w:ascii="仿宋_GB2312" w:hAnsi="仿宋_GB2312" w:eastAsia="仿宋_GB2312" w:cs="仿宋_GB2312"/>
          <w:sz w:val="28"/>
          <w:szCs w:val="28"/>
          <w:lang w:val="zh-CN"/>
        </w:rPr>
        <w:t>采购竞争性谈判</w:t>
      </w:r>
    </w:p>
    <w:p w14:paraId="29D01E02">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三、项目概况与竞争性谈判范围</w:t>
      </w:r>
    </w:p>
    <w:p w14:paraId="5B84E0DD">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1、项目地点：济南市章丘区埠村街道济南鲍德冶金石灰石有限公司</w:t>
      </w:r>
      <w:r>
        <w:rPr>
          <w:rFonts w:hint="eastAsia" w:ascii="仿宋_GB2312" w:hAnsi="仿宋_GB2312" w:eastAsia="仿宋_GB2312" w:cs="仿宋_GB2312"/>
          <w:sz w:val="28"/>
          <w:szCs w:val="28"/>
          <w:lang w:val="en-US" w:eastAsia="zh-CN"/>
        </w:rPr>
        <w:t>翟家庄矿区</w:t>
      </w:r>
    </w:p>
    <w:p w14:paraId="623C80B7">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2、工期：</w:t>
      </w:r>
      <w:r>
        <w:rPr>
          <w:rFonts w:hint="eastAsia" w:ascii="仿宋_GB2312" w:hAnsi="仿宋_GB2312" w:eastAsia="仿宋_GB2312" w:cs="仿宋_GB2312"/>
          <w:sz w:val="28"/>
          <w:szCs w:val="28"/>
          <w:lang w:val="en-US" w:eastAsia="zh-CN"/>
        </w:rPr>
        <w:t>根据招标方需求提供汽车吊租赁使用服务</w:t>
      </w:r>
    </w:p>
    <w:p w14:paraId="4E3D9463">
      <w:pPr>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3、竞争性谈判范围：</w:t>
      </w:r>
    </w:p>
    <w:p w14:paraId="236E7F52">
      <w:pPr>
        <w:pStyle w:val="4"/>
        <w:numPr>
          <w:ilvl w:val="0"/>
          <w:numId w:val="0"/>
        </w:numPr>
        <w:ind w:leftChars="0" w:firstLine="7280" w:firstLineChars="2600"/>
        <w:rPr>
          <w:rFonts w:ascii="仿宋" w:hAnsi="仿宋" w:eastAsia="仿宋"/>
          <w:sz w:val="28"/>
          <w:szCs w:val="28"/>
        </w:rPr>
      </w:pPr>
      <w:r>
        <w:rPr>
          <w:rFonts w:hint="eastAsia" w:ascii="仿宋" w:hAnsi="仿宋" w:eastAsia="仿宋"/>
          <w:sz w:val="28"/>
          <w:szCs w:val="28"/>
        </w:rPr>
        <w:t>人民币：元</w:t>
      </w:r>
    </w:p>
    <w:tbl>
      <w:tblPr>
        <w:tblStyle w:val="2"/>
        <w:tblW w:w="8340" w:type="dxa"/>
        <w:jc w:val="center"/>
        <w:tblLayout w:type="fixed"/>
        <w:tblCellMar>
          <w:top w:w="0" w:type="dxa"/>
          <w:left w:w="108" w:type="dxa"/>
          <w:bottom w:w="0" w:type="dxa"/>
          <w:right w:w="108" w:type="dxa"/>
        </w:tblCellMar>
      </w:tblPr>
      <w:tblGrid>
        <w:gridCol w:w="1690"/>
        <w:gridCol w:w="3389"/>
        <w:gridCol w:w="900"/>
        <w:gridCol w:w="1050"/>
        <w:gridCol w:w="1311"/>
      </w:tblGrid>
      <w:tr w14:paraId="1BD04422">
        <w:tblPrEx>
          <w:tblCellMar>
            <w:top w:w="0" w:type="dxa"/>
            <w:left w:w="108" w:type="dxa"/>
            <w:bottom w:w="0" w:type="dxa"/>
            <w:right w:w="108" w:type="dxa"/>
          </w:tblCellMar>
        </w:tblPrEx>
        <w:trPr>
          <w:trHeight w:val="600" w:hRule="atLeast"/>
          <w:jc w:val="center"/>
        </w:trPr>
        <w:tc>
          <w:tcPr>
            <w:tcW w:w="1690" w:type="dxa"/>
            <w:tcBorders>
              <w:top w:val="single" w:color="auto" w:sz="4" w:space="0"/>
              <w:left w:val="single" w:color="auto" w:sz="4" w:space="0"/>
              <w:bottom w:val="single" w:color="auto" w:sz="4" w:space="0"/>
              <w:right w:val="single" w:color="auto" w:sz="4" w:space="0"/>
            </w:tcBorders>
            <w:shd w:val="clear" w:color="auto" w:fill="auto"/>
            <w:vAlign w:val="center"/>
          </w:tcPr>
          <w:p w14:paraId="64215579">
            <w:pPr>
              <w:keepNext w:val="0"/>
              <w:keepLines w:val="0"/>
              <w:widowControl/>
              <w:suppressLineNumbers w:val="0"/>
              <w:jc w:val="center"/>
              <w:textAlignment w:val="center"/>
              <w:rPr>
                <w:rFonts w:ascii="仿宋" w:hAnsi="仿宋" w:eastAsia="仿宋" w:cs="宋体"/>
                <w:color w:val="000000"/>
                <w:kern w:val="0"/>
                <w:sz w:val="28"/>
                <w:szCs w:val="28"/>
              </w:rPr>
            </w:pPr>
            <w:r>
              <w:rPr>
                <w:rFonts w:hint="eastAsia" w:ascii="仿宋" w:hAnsi="仿宋" w:eastAsia="仿宋" w:cs="仿宋"/>
                <w:i w:val="0"/>
                <w:iCs w:val="0"/>
                <w:color w:val="000000"/>
                <w:kern w:val="0"/>
                <w:sz w:val="28"/>
                <w:szCs w:val="28"/>
                <w:u w:val="none"/>
                <w:lang w:val="en-US" w:eastAsia="zh-CN" w:bidi="ar"/>
              </w:rPr>
              <w:t>吊车规格</w:t>
            </w:r>
          </w:p>
        </w:tc>
        <w:tc>
          <w:tcPr>
            <w:tcW w:w="3389" w:type="dxa"/>
            <w:tcBorders>
              <w:top w:val="single" w:color="auto" w:sz="4" w:space="0"/>
              <w:left w:val="nil"/>
              <w:bottom w:val="single" w:color="auto" w:sz="4" w:space="0"/>
              <w:right w:val="single" w:color="auto" w:sz="4" w:space="0"/>
            </w:tcBorders>
            <w:shd w:val="clear" w:color="auto" w:fill="auto"/>
            <w:noWrap/>
            <w:vAlign w:val="center"/>
          </w:tcPr>
          <w:p w14:paraId="68288F60">
            <w:pPr>
              <w:keepNext w:val="0"/>
              <w:keepLines w:val="0"/>
              <w:widowControl/>
              <w:suppressLineNumbers w:val="0"/>
              <w:jc w:val="center"/>
              <w:textAlignment w:val="center"/>
              <w:rPr>
                <w:rFonts w:ascii="仿宋" w:hAnsi="仿宋" w:eastAsia="仿宋" w:cs="宋体"/>
                <w:color w:val="000000"/>
                <w:kern w:val="0"/>
                <w:sz w:val="28"/>
                <w:szCs w:val="28"/>
              </w:rPr>
            </w:pPr>
            <w:r>
              <w:rPr>
                <w:rFonts w:hint="eastAsia" w:ascii="仿宋" w:hAnsi="仿宋" w:eastAsia="仿宋" w:cs="仿宋"/>
                <w:i w:val="0"/>
                <w:iCs w:val="0"/>
                <w:color w:val="000000"/>
                <w:kern w:val="0"/>
                <w:sz w:val="28"/>
                <w:szCs w:val="28"/>
                <w:u w:val="none"/>
                <w:lang w:val="en-US" w:eastAsia="zh-CN" w:bidi="ar"/>
              </w:rPr>
              <w:t>使用时间</w:t>
            </w:r>
          </w:p>
        </w:tc>
        <w:tc>
          <w:tcPr>
            <w:tcW w:w="900" w:type="dxa"/>
            <w:tcBorders>
              <w:top w:val="single" w:color="auto" w:sz="4" w:space="0"/>
              <w:left w:val="nil"/>
              <w:bottom w:val="single" w:color="auto" w:sz="4" w:space="0"/>
              <w:right w:val="single" w:color="auto" w:sz="4" w:space="0"/>
            </w:tcBorders>
            <w:shd w:val="clear" w:color="auto" w:fill="auto"/>
            <w:noWrap/>
            <w:vAlign w:val="center"/>
          </w:tcPr>
          <w:p w14:paraId="24ED20DF">
            <w:pPr>
              <w:keepNext w:val="0"/>
              <w:keepLines w:val="0"/>
              <w:widowControl/>
              <w:suppressLineNumbers w:val="0"/>
              <w:jc w:val="center"/>
              <w:textAlignment w:val="center"/>
              <w:rPr>
                <w:rFonts w:ascii="仿宋" w:hAnsi="仿宋" w:eastAsia="仿宋" w:cs="宋体"/>
                <w:color w:val="000000"/>
                <w:kern w:val="0"/>
                <w:sz w:val="28"/>
                <w:szCs w:val="28"/>
              </w:rPr>
            </w:pPr>
            <w:r>
              <w:rPr>
                <w:rFonts w:hint="eastAsia" w:ascii="仿宋" w:hAnsi="仿宋" w:eastAsia="仿宋" w:cs="仿宋"/>
                <w:i w:val="0"/>
                <w:iCs w:val="0"/>
                <w:color w:val="000000"/>
                <w:kern w:val="0"/>
                <w:sz w:val="28"/>
                <w:szCs w:val="28"/>
                <w:u w:val="none"/>
                <w:lang w:val="en-US" w:eastAsia="zh-CN" w:bidi="ar"/>
              </w:rPr>
              <w:t>预计次数</w:t>
            </w:r>
          </w:p>
        </w:tc>
        <w:tc>
          <w:tcPr>
            <w:tcW w:w="1050" w:type="dxa"/>
            <w:tcBorders>
              <w:top w:val="single" w:color="auto" w:sz="4" w:space="0"/>
              <w:left w:val="nil"/>
              <w:bottom w:val="single" w:color="auto" w:sz="4" w:space="0"/>
              <w:right w:val="single" w:color="auto" w:sz="4" w:space="0"/>
            </w:tcBorders>
            <w:shd w:val="clear" w:color="auto" w:fill="auto"/>
            <w:noWrap/>
            <w:vAlign w:val="center"/>
          </w:tcPr>
          <w:p w14:paraId="65BE8F12">
            <w:pPr>
              <w:keepNext w:val="0"/>
              <w:keepLines w:val="0"/>
              <w:widowControl/>
              <w:suppressLineNumbers w:val="0"/>
              <w:jc w:val="center"/>
              <w:textAlignment w:val="center"/>
              <w:rPr>
                <w:rFonts w:hint="eastAsia" w:ascii="仿宋" w:hAnsi="仿宋" w:eastAsia="仿宋" w:cs="宋体"/>
                <w:color w:val="000000"/>
                <w:kern w:val="0"/>
                <w:sz w:val="28"/>
                <w:szCs w:val="28"/>
              </w:rPr>
            </w:pPr>
            <w:r>
              <w:rPr>
                <w:rFonts w:hint="eastAsia" w:ascii="仿宋" w:hAnsi="仿宋" w:eastAsia="仿宋" w:cs="仿宋"/>
                <w:i w:val="0"/>
                <w:iCs w:val="0"/>
                <w:color w:val="000000"/>
                <w:kern w:val="0"/>
                <w:sz w:val="28"/>
                <w:szCs w:val="28"/>
                <w:u w:val="none"/>
                <w:lang w:val="en-US" w:eastAsia="zh-CN" w:bidi="ar"/>
              </w:rPr>
              <w:t>单价</w:t>
            </w:r>
          </w:p>
        </w:tc>
        <w:tc>
          <w:tcPr>
            <w:tcW w:w="1311" w:type="dxa"/>
            <w:tcBorders>
              <w:top w:val="single" w:color="auto" w:sz="4" w:space="0"/>
              <w:left w:val="nil"/>
              <w:bottom w:val="single" w:color="auto" w:sz="4" w:space="0"/>
              <w:right w:val="single" w:color="auto" w:sz="4" w:space="0"/>
            </w:tcBorders>
            <w:shd w:val="clear" w:color="auto" w:fill="auto"/>
            <w:noWrap/>
            <w:vAlign w:val="center"/>
          </w:tcPr>
          <w:p w14:paraId="36C38E81">
            <w:pPr>
              <w:keepNext w:val="0"/>
              <w:keepLines w:val="0"/>
              <w:widowControl/>
              <w:suppressLineNumbers w:val="0"/>
              <w:jc w:val="center"/>
              <w:textAlignment w:val="center"/>
              <w:rPr>
                <w:rFonts w:ascii="仿宋" w:hAnsi="仿宋" w:eastAsia="仿宋" w:cs="宋体"/>
                <w:color w:val="000000"/>
                <w:kern w:val="0"/>
                <w:sz w:val="28"/>
                <w:szCs w:val="28"/>
              </w:rPr>
            </w:pPr>
            <w:r>
              <w:rPr>
                <w:rFonts w:hint="eastAsia" w:ascii="仿宋" w:hAnsi="仿宋" w:eastAsia="仿宋" w:cs="仿宋"/>
                <w:i w:val="0"/>
                <w:iCs w:val="0"/>
                <w:color w:val="000000"/>
                <w:kern w:val="0"/>
                <w:sz w:val="28"/>
                <w:szCs w:val="28"/>
                <w:u w:val="none"/>
                <w:lang w:val="en-US" w:eastAsia="zh-CN" w:bidi="ar"/>
              </w:rPr>
              <w:t>合计</w:t>
            </w:r>
          </w:p>
        </w:tc>
      </w:tr>
      <w:tr w14:paraId="037A4D22">
        <w:tblPrEx>
          <w:tblCellMar>
            <w:top w:w="0" w:type="dxa"/>
            <w:left w:w="108" w:type="dxa"/>
            <w:bottom w:w="0" w:type="dxa"/>
            <w:right w:w="108" w:type="dxa"/>
          </w:tblCellMar>
        </w:tblPrEx>
        <w:trPr>
          <w:trHeight w:val="600" w:hRule="atLeast"/>
          <w:jc w:val="center"/>
        </w:trPr>
        <w:tc>
          <w:tcPr>
            <w:tcW w:w="1690" w:type="dxa"/>
            <w:vMerge w:val="restart"/>
            <w:tcBorders>
              <w:top w:val="nil"/>
              <w:left w:val="single" w:color="auto" w:sz="4" w:space="0"/>
              <w:bottom w:val="single" w:color="auto" w:sz="4" w:space="0"/>
              <w:right w:val="single" w:color="auto" w:sz="4" w:space="0"/>
            </w:tcBorders>
            <w:shd w:val="clear" w:color="auto" w:fill="auto"/>
            <w:noWrap/>
            <w:vAlign w:val="center"/>
          </w:tcPr>
          <w:p w14:paraId="04BEAC23">
            <w:pPr>
              <w:keepNext w:val="0"/>
              <w:keepLines w:val="0"/>
              <w:widowControl/>
              <w:suppressLineNumbers w:val="0"/>
              <w:jc w:val="center"/>
              <w:textAlignment w:val="center"/>
              <w:rPr>
                <w:rFonts w:hint="eastAsia" w:ascii="仿宋" w:hAnsi="仿宋" w:eastAsia="仿宋"/>
                <w:sz w:val="28"/>
                <w:szCs w:val="28"/>
              </w:rPr>
            </w:pPr>
            <w:r>
              <w:rPr>
                <w:rFonts w:hint="eastAsia" w:ascii="仿宋" w:hAnsi="仿宋" w:eastAsia="仿宋" w:cs="仿宋"/>
                <w:i w:val="0"/>
                <w:iCs w:val="0"/>
                <w:color w:val="000000"/>
                <w:kern w:val="0"/>
                <w:sz w:val="28"/>
                <w:szCs w:val="28"/>
                <w:u w:val="none"/>
                <w:lang w:val="en-US" w:eastAsia="zh-CN" w:bidi="ar"/>
              </w:rPr>
              <w:t>8T</w:t>
            </w:r>
          </w:p>
        </w:tc>
        <w:tc>
          <w:tcPr>
            <w:tcW w:w="3389" w:type="dxa"/>
            <w:tcBorders>
              <w:top w:val="nil"/>
              <w:left w:val="nil"/>
              <w:bottom w:val="single" w:color="auto" w:sz="4" w:space="0"/>
              <w:right w:val="single" w:color="auto" w:sz="4" w:space="0"/>
            </w:tcBorders>
            <w:shd w:val="clear" w:color="auto" w:fill="auto"/>
            <w:noWrap/>
            <w:vAlign w:val="center"/>
          </w:tcPr>
          <w:p w14:paraId="7846031F">
            <w:pPr>
              <w:keepNext w:val="0"/>
              <w:keepLines w:val="0"/>
              <w:widowControl/>
              <w:suppressLineNumbers w:val="0"/>
              <w:jc w:val="center"/>
              <w:textAlignment w:val="center"/>
              <w:rPr>
                <w:rFonts w:hint="eastAsia" w:ascii="仿宋" w:hAnsi="仿宋" w:eastAsia="仿宋"/>
                <w:sz w:val="28"/>
                <w:szCs w:val="28"/>
              </w:rPr>
            </w:pPr>
            <w:r>
              <w:rPr>
                <w:rFonts w:hint="eastAsia" w:ascii="仿宋" w:hAnsi="仿宋" w:eastAsia="仿宋" w:cs="仿宋"/>
                <w:i w:val="0"/>
                <w:iCs w:val="0"/>
                <w:color w:val="000000"/>
                <w:kern w:val="0"/>
                <w:sz w:val="28"/>
                <w:szCs w:val="28"/>
                <w:u w:val="none"/>
                <w:lang w:val="en-US" w:eastAsia="zh-CN" w:bidi="ar"/>
              </w:rPr>
              <w:t>1小时＜使用时间≤2小时</w:t>
            </w:r>
          </w:p>
        </w:tc>
        <w:tc>
          <w:tcPr>
            <w:tcW w:w="900" w:type="dxa"/>
            <w:tcBorders>
              <w:top w:val="nil"/>
              <w:left w:val="nil"/>
              <w:bottom w:val="single" w:color="auto" w:sz="4" w:space="0"/>
              <w:right w:val="single" w:color="auto" w:sz="4" w:space="0"/>
            </w:tcBorders>
            <w:shd w:val="clear" w:color="auto" w:fill="auto"/>
            <w:noWrap/>
            <w:vAlign w:val="center"/>
          </w:tcPr>
          <w:p w14:paraId="42BC424C">
            <w:pPr>
              <w:keepNext w:val="0"/>
              <w:keepLines w:val="0"/>
              <w:widowControl/>
              <w:suppressLineNumbers w:val="0"/>
              <w:jc w:val="center"/>
              <w:textAlignment w:val="center"/>
              <w:rPr>
                <w:rFonts w:hint="eastAsia" w:ascii="仿宋" w:hAnsi="仿宋" w:eastAsia="仿宋"/>
                <w:sz w:val="28"/>
                <w:szCs w:val="28"/>
              </w:rPr>
            </w:pPr>
            <w:r>
              <w:rPr>
                <w:rFonts w:hint="eastAsia" w:ascii="仿宋" w:hAnsi="仿宋" w:eastAsia="仿宋" w:cs="仿宋"/>
                <w:i w:val="0"/>
                <w:iCs w:val="0"/>
                <w:color w:val="000000"/>
                <w:kern w:val="0"/>
                <w:sz w:val="28"/>
                <w:szCs w:val="28"/>
                <w:u w:val="none"/>
                <w:lang w:val="en-US" w:eastAsia="zh-CN" w:bidi="ar"/>
              </w:rPr>
              <w:t>60</w:t>
            </w:r>
          </w:p>
        </w:tc>
        <w:tc>
          <w:tcPr>
            <w:tcW w:w="1050" w:type="dxa"/>
            <w:tcBorders>
              <w:top w:val="nil"/>
              <w:left w:val="nil"/>
              <w:bottom w:val="single" w:color="auto" w:sz="4" w:space="0"/>
              <w:right w:val="single" w:color="auto" w:sz="4" w:space="0"/>
            </w:tcBorders>
            <w:shd w:val="clear" w:color="auto" w:fill="auto"/>
            <w:noWrap/>
            <w:vAlign w:val="center"/>
          </w:tcPr>
          <w:p w14:paraId="0F10B58E">
            <w:pPr>
              <w:jc w:val="center"/>
              <w:rPr>
                <w:rFonts w:hint="default" w:ascii="仿宋" w:hAnsi="仿宋" w:eastAsia="仿宋"/>
                <w:sz w:val="28"/>
                <w:szCs w:val="28"/>
                <w:lang w:val="en-US" w:eastAsia="zh-CN"/>
              </w:rPr>
            </w:pPr>
          </w:p>
        </w:tc>
        <w:tc>
          <w:tcPr>
            <w:tcW w:w="1311" w:type="dxa"/>
            <w:tcBorders>
              <w:top w:val="nil"/>
              <w:left w:val="nil"/>
              <w:bottom w:val="single" w:color="auto" w:sz="4" w:space="0"/>
              <w:right w:val="single" w:color="auto" w:sz="4" w:space="0"/>
            </w:tcBorders>
            <w:shd w:val="clear" w:color="auto" w:fill="auto"/>
            <w:noWrap/>
            <w:vAlign w:val="center"/>
          </w:tcPr>
          <w:p w14:paraId="343D01EA">
            <w:pPr>
              <w:jc w:val="center"/>
              <w:rPr>
                <w:rFonts w:hint="eastAsia" w:ascii="仿宋" w:hAnsi="仿宋" w:eastAsia="仿宋"/>
                <w:sz w:val="28"/>
                <w:szCs w:val="28"/>
              </w:rPr>
            </w:pPr>
          </w:p>
        </w:tc>
      </w:tr>
      <w:tr w14:paraId="1A707053">
        <w:tblPrEx>
          <w:tblCellMar>
            <w:top w:w="0" w:type="dxa"/>
            <w:left w:w="108" w:type="dxa"/>
            <w:bottom w:w="0" w:type="dxa"/>
            <w:right w:w="108" w:type="dxa"/>
          </w:tblCellMar>
        </w:tblPrEx>
        <w:trPr>
          <w:trHeight w:val="600" w:hRule="atLeast"/>
          <w:jc w:val="center"/>
        </w:trPr>
        <w:tc>
          <w:tcPr>
            <w:tcW w:w="1690" w:type="dxa"/>
            <w:vMerge w:val="continue"/>
            <w:tcBorders>
              <w:top w:val="nil"/>
              <w:left w:val="single" w:color="auto" w:sz="4" w:space="0"/>
              <w:bottom w:val="single" w:color="auto" w:sz="4" w:space="0"/>
              <w:right w:val="single" w:color="auto" w:sz="4" w:space="0"/>
            </w:tcBorders>
            <w:shd w:val="clear" w:color="auto" w:fill="auto"/>
            <w:noWrap/>
            <w:vAlign w:val="center"/>
          </w:tcPr>
          <w:p w14:paraId="5DBD59C1">
            <w:pPr>
              <w:jc w:val="center"/>
              <w:rPr>
                <w:rFonts w:hint="eastAsia" w:ascii="仿宋" w:hAnsi="仿宋" w:eastAsia="仿宋"/>
                <w:sz w:val="28"/>
                <w:szCs w:val="28"/>
              </w:rPr>
            </w:pPr>
          </w:p>
        </w:tc>
        <w:tc>
          <w:tcPr>
            <w:tcW w:w="3389" w:type="dxa"/>
            <w:tcBorders>
              <w:top w:val="nil"/>
              <w:left w:val="nil"/>
              <w:bottom w:val="single" w:color="auto" w:sz="4" w:space="0"/>
              <w:right w:val="single" w:color="auto" w:sz="4" w:space="0"/>
            </w:tcBorders>
            <w:shd w:val="clear" w:color="auto" w:fill="auto"/>
            <w:noWrap/>
            <w:vAlign w:val="center"/>
          </w:tcPr>
          <w:p w14:paraId="3AE2F609">
            <w:pPr>
              <w:keepNext w:val="0"/>
              <w:keepLines w:val="0"/>
              <w:widowControl/>
              <w:suppressLineNumbers w:val="0"/>
              <w:jc w:val="center"/>
              <w:textAlignment w:val="center"/>
              <w:rPr>
                <w:rFonts w:hint="eastAsia" w:ascii="仿宋" w:hAnsi="仿宋" w:eastAsia="仿宋"/>
                <w:sz w:val="28"/>
                <w:szCs w:val="28"/>
              </w:rPr>
            </w:pPr>
            <w:r>
              <w:rPr>
                <w:rFonts w:hint="eastAsia" w:ascii="仿宋" w:hAnsi="仿宋" w:eastAsia="仿宋" w:cs="仿宋"/>
                <w:i w:val="0"/>
                <w:iCs w:val="0"/>
                <w:color w:val="000000"/>
                <w:kern w:val="0"/>
                <w:sz w:val="28"/>
                <w:szCs w:val="28"/>
                <w:u w:val="none"/>
                <w:lang w:val="en-US" w:eastAsia="zh-CN" w:bidi="ar"/>
              </w:rPr>
              <w:t>2小时＜使用时间≤4小时</w:t>
            </w:r>
          </w:p>
        </w:tc>
        <w:tc>
          <w:tcPr>
            <w:tcW w:w="900" w:type="dxa"/>
            <w:tcBorders>
              <w:top w:val="nil"/>
              <w:left w:val="nil"/>
              <w:bottom w:val="single" w:color="auto" w:sz="4" w:space="0"/>
              <w:right w:val="single" w:color="auto" w:sz="4" w:space="0"/>
            </w:tcBorders>
            <w:shd w:val="clear" w:color="auto" w:fill="auto"/>
            <w:noWrap/>
            <w:vAlign w:val="center"/>
          </w:tcPr>
          <w:p w14:paraId="6FE73BF8">
            <w:pPr>
              <w:keepNext w:val="0"/>
              <w:keepLines w:val="0"/>
              <w:widowControl/>
              <w:suppressLineNumbers w:val="0"/>
              <w:jc w:val="center"/>
              <w:textAlignment w:val="center"/>
              <w:rPr>
                <w:rFonts w:hint="eastAsia" w:ascii="仿宋" w:hAnsi="仿宋" w:eastAsia="仿宋"/>
                <w:sz w:val="28"/>
                <w:szCs w:val="28"/>
              </w:rPr>
            </w:pPr>
            <w:r>
              <w:rPr>
                <w:rFonts w:hint="eastAsia" w:ascii="仿宋" w:hAnsi="仿宋" w:eastAsia="仿宋" w:cs="仿宋"/>
                <w:i w:val="0"/>
                <w:iCs w:val="0"/>
                <w:color w:val="000000"/>
                <w:kern w:val="0"/>
                <w:sz w:val="28"/>
                <w:szCs w:val="28"/>
                <w:u w:val="none"/>
                <w:lang w:val="en-US" w:eastAsia="zh-CN" w:bidi="ar"/>
              </w:rPr>
              <w:t>20</w:t>
            </w:r>
          </w:p>
        </w:tc>
        <w:tc>
          <w:tcPr>
            <w:tcW w:w="1050" w:type="dxa"/>
            <w:tcBorders>
              <w:top w:val="nil"/>
              <w:left w:val="nil"/>
              <w:bottom w:val="single" w:color="auto" w:sz="4" w:space="0"/>
              <w:right w:val="single" w:color="auto" w:sz="4" w:space="0"/>
            </w:tcBorders>
            <w:shd w:val="clear" w:color="auto" w:fill="auto"/>
            <w:noWrap/>
            <w:vAlign w:val="center"/>
          </w:tcPr>
          <w:p w14:paraId="1FC943CE">
            <w:pPr>
              <w:jc w:val="center"/>
              <w:rPr>
                <w:rFonts w:hint="default" w:ascii="仿宋" w:hAnsi="仿宋" w:eastAsia="仿宋"/>
                <w:sz w:val="28"/>
                <w:szCs w:val="28"/>
                <w:lang w:val="en-US" w:eastAsia="zh-CN"/>
              </w:rPr>
            </w:pPr>
          </w:p>
        </w:tc>
        <w:tc>
          <w:tcPr>
            <w:tcW w:w="1311" w:type="dxa"/>
            <w:tcBorders>
              <w:top w:val="nil"/>
              <w:left w:val="nil"/>
              <w:bottom w:val="single" w:color="auto" w:sz="4" w:space="0"/>
              <w:right w:val="single" w:color="auto" w:sz="4" w:space="0"/>
            </w:tcBorders>
            <w:shd w:val="clear" w:color="auto" w:fill="auto"/>
            <w:noWrap/>
            <w:vAlign w:val="center"/>
          </w:tcPr>
          <w:p w14:paraId="6797C9CF">
            <w:pPr>
              <w:jc w:val="center"/>
              <w:rPr>
                <w:rFonts w:hint="eastAsia" w:ascii="仿宋" w:hAnsi="仿宋" w:eastAsia="仿宋"/>
                <w:sz w:val="28"/>
                <w:szCs w:val="28"/>
              </w:rPr>
            </w:pPr>
          </w:p>
        </w:tc>
      </w:tr>
      <w:tr w14:paraId="791AE08F">
        <w:tblPrEx>
          <w:tblCellMar>
            <w:top w:w="0" w:type="dxa"/>
            <w:left w:w="108" w:type="dxa"/>
            <w:bottom w:w="0" w:type="dxa"/>
            <w:right w:w="108" w:type="dxa"/>
          </w:tblCellMar>
        </w:tblPrEx>
        <w:trPr>
          <w:trHeight w:val="600" w:hRule="atLeast"/>
          <w:jc w:val="center"/>
        </w:trPr>
        <w:tc>
          <w:tcPr>
            <w:tcW w:w="1690" w:type="dxa"/>
            <w:vMerge w:val="continue"/>
            <w:tcBorders>
              <w:top w:val="nil"/>
              <w:left w:val="single" w:color="auto" w:sz="4" w:space="0"/>
              <w:bottom w:val="single" w:color="auto" w:sz="4" w:space="0"/>
              <w:right w:val="single" w:color="auto" w:sz="4" w:space="0"/>
            </w:tcBorders>
            <w:shd w:val="clear" w:color="auto" w:fill="auto"/>
            <w:noWrap/>
            <w:vAlign w:val="center"/>
          </w:tcPr>
          <w:p w14:paraId="7A1B50AB">
            <w:pPr>
              <w:jc w:val="center"/>
              <w:rPr>
                <w:rFonts w:hint="eastAsia" w:ascii="仿宋" w:hAnsi="仿宋" w:eastAsia="仿宋"/>
                <w:sz w:val="28"/>
                <w:szCs w:val="28"/>
              </w:rPr>
            </w:pPr>
          </w:p>
        </w:tc>
        <w:tc>
          <w:tcPr>
            <w:tcW w:w="3389" w:type="dxa"/>
            <w:tcBorders>
              <w:top w:val="nil"/>
              <w:left w:val="nil"/>
              <w:bottom w:val="single" w:color="auto" w:sz="4" w:space="0"/>
              <w:right w:val="single" w:color="auto" w:sz="4" w:space="0"/>
            </w:tcBorders>
            <w:shd w:val="clear" w:color="auto" w:fill="auto"/>
            <w:noWrap/>
            <w:vAlign w:val="center"/>
          </w:tcPr>
          <w:p w14:paraId="7E907744">
            <w:pPr>
              <w:keepNext w:val="0"/>
              <w:keepLines w:val="0"/>
              <w:widowControl/>
              <w:suppressLineNumbers w:val="0"/>
              <w:jc w:val="center"/>
              <w:textAlignment w:val="center"/>
              <w:rPr>
                <w:rFonts w:hint="eastAsia" w:ascii="仿宋" w:hAnsi="仿宋" w:eastAsia="仿宋"/>
                <w:sz w:val="28"/>
                <w:szCs w:val="28"/>
              </w:rPr>
            </w:pPr>
            <w:r>
              <w:rPr>
                <w:rFonts w:hint="eastAsia" w:ascii="仿宋" w:hAnsi="仿宋" w:eastAsia="仿宋" w:cs="仿宋"/>
                <w:i w:val="0"/>
                <w:iCs w:val="0"/>
                <w:color w:val="000000"/>
                <w:kern w:val="0"/>
                <w:sz w:val="28"/>
                <w:szCs w:val="28"/>
                <w:u w:val="none"/>
                <w:lang w:val="en-US" w:eastAsia="zh-CN" w:bidi="ar"/>
              </w:rPr>
              <w:t>4小时＜使用时间≤6小时</w:t>
            </w:r>
          </w:p>
        </w:tc>
        <w:tc>
          <w:tcPr>
            <w:tcW w:w="900" w:type="dxa"/>
            <w:tcBorders>
              <w:top w:val="nil"/>
              <w:left w:val="nil"/>
              <w:bottom w:val="single" w:color="auto" w:sz="4" w:space="0"/>
              <w:right w:val="single" w:color="auto" w:sz="4" w:space="0"/>
            </w:tcBorders>
            <w:shd w:val="clear" w:color="auto" w:fill="auto"/>
            <w:noWrap/>
            <w:vAlign w:val="center"/>
          </w:tcPr>
          <w:p w14:paraId="7EAB4CAC">
            <w:pPr>
              <w:keepNext w:val="0"/>
              <w:keepLines w:val="0"/>
              <w:widowControl/>
              <w:suppressLineNumbers w:val="0"/>
              <w:jc w:val="center"/>
              <w:textAlignment w:val="center"/>
              <w:rPr>
                <w:rFonts w:hint="eastAsia" w:ascii="仿宋" w:hAnsi="仿宋" w:eastAsia="仿宋"/>
                <w:sz w:val="28"/>
                <w:szCs w:val="28"/>
              </w:rPr>
            </w:pPr>
            <w:r>
              <w:rPr>
                <w:rFonts w:hint="eastAsia" w:ascii="仿宋" w:hAnsi="仿宋" w:eastAsia="仿宋" w:cs="仿宋"/>
                <w:i w:val="0"/>
                <w:iCs w:val="0"/>
                <w:color w:val="000000"/>
                <w:kern w:val="0"/>
                <w:sz w:val="28"/>
                <w:szCs w:val="28"/>
                <w:u w:val="none"/>
                <w:lang w:val="en-US" w:eastAsia="zh-CN" w:bidi="ar"/>
              </w:rPr>
              <w:t>5</w:t>
            </w:r>
          </w:p>
        </w:tc>
        <w:tc>
          <w:tcPr>
            <w:tcW w:w="1050" w:type="dxa"/>
            <w:tcBorders>
              <w:top w:val="nil"/>
              <w:left w:val="nil"/>
              <w:bottom w:val="single" w:color="auto" w:sz="4" w:space="0"/>
              <w:right w:val="single" w:color="auto" w:sz="4" w:space="0"/>
            </w:tcBorders>
            <w:shd w:val="clear" w:color="auto" w:fill="auto"/>
            <w:noWrap/>
            <w:vAlign w:val="center"/>
          </w:tcPr>
          <w:p w14:paraId="53B13F09">
            <w:pPr>
              <w:jc w:val="center"/>
              <w:rPr>
                <w:rFonts w:hint="default" w:ascii="仿宋" w:hAnsi="仿宋" w:eastAsia="仿宋"/>
                <w:sz w:val="28"/>
                <w:szCs w:val="28"/>
                <w:lang w:val="en-US" w:eastAsia="zh-CN"/>
              </w:rPr>
            </w:pPr>
          </w:p>
        </w:tc>
        <w:tc>
          <w:tcPr>
            <w:tcW w:w="1311" w:type="dxa"/>
            <w:tcBorders>
              <w:top w:val="nil"/>
              <w:left w:val="nil"/>
              <w:bottom w:val="single" w:color="auto" w:sz="4" w:space="0"/>
              <w:right w:val="single" w:color="auto" w:sz="4" w:space="0"/>
            </w:tcBorders>
            <w:shd w:val="clear" w:color="auto" w:fill="auto"/>
            <w:noWrap/>
            <w:vAlign w:val="center"/>
          </w:tcPr>
          <w:p w14:paraId="76C098E0">
            <w:pPr>
              <w:jc w:val="center"/>
              <w:rPr>
                <w:rFonts w:hint="eastAsia" w:ascii="仿宋" w:hAnsi="仿宋" w:eastAsia="仿宋"/>
                <w:sz w:val="28"/>
                <w:szCs w:val="28"/>
              </w:rPr>
            </w:pPr>
          </w:p>
        </w:tc>
      </w:tr>
      <w:tr w14:paraId="56D55D89">
        <w:tblPrEx>
          <w:tblCellMar>
            <w:top w:w="0" w:type="dxa"/>
            <w:left w:w="108" w:type="dxa"/>
            <w:bottom w:w="0" w:type="dxa"/>
            <w:right w:w="108" w:type="dxa"/>
          </w:tblCellMar>
        </w:tblPrEx>
        <w:trPr>
          <w:trHeight w:val="600" w:hRule="atLeast"/>
          <w:jc w:val="center"/>
        </w:trPr>
        <w:tc>
          <w:tcPr>
            <w:tcW w:w="1690" w:type="dxa"/>
            <w:vMerge w:val="continue"/>
            <w:tcBorders>
              <w:top w:val="nil"/>
              <w:left w:val="single" w:color="auto" w:sz="4" w:space="0"/>
              <w:bottom w:val="single" w:color="auto" w:sz="4" w:space="0"/>
              <w:right w:val="single" w:color="auto" w:sz="4" w:space="0"/>
            </w:tcBorders>
            <w:shd w:val="clear" w:color="auto" w:fill="auto"/>
            <w:noWrap/>
            <w:vAlign w:val="center"/>
          </w:tcPr>
          <w:p w14:paraId="71A7F884">
            <w:pPr>
              <w:jc w:val="center"/>
              <w:rPr>
                <w:rFonts w:hint="eastAsia" w:ascii="仿宋" w:hAnsi="仿宋" w:eastAsia="仿宋"/>
                <w:sz w:val="28"/>
                <w:szCs w:val="28"/>
              </w:rPr>
            </w:pPr>
          </w:p>
        </w:tc>
        <w:tc>
          <w:tcPr>
            <w:tcW w:w="3389" w:type="dxa"/>
            <w:tcBorders>
              <w:top w:val="nil"/>
              <w:left w:val="nil"/>
              <w:bottom w:val="single" w:color="auto" w:sz="4" w:space="0"/>
              <w:right w:val="single" w:color="auto" w:sz="4" w:space="0"/>
            </w:tcBorders>
            <w:shd w:val="clear" w:color="auto" w:fill="auto"/>
            <w:noWrap/>
            <w:vAlign w:val="center"/>
          </w:tcPr>
          <w:p w14:paraId="0E5273AD">
            <w:pPr>
              <w:keepNext w:val="0"/>
              <w:keepLines w:val="0"/>
              <w:widowControl/>
              <w:suppressLineNumbers w:val="0"/>
              <w:jc w:val="center"/>
              <w:textAlignment w:val="center"/>
              <w:rPr>
                <w:rFonts w:hint="eastAsia" w:ascii="仿宋" w:hAnsi="仿宋" w:eastAsia="仿宋"/>
                <w:sz w:val="28"/>
                <w:szCs w:val="28"/>
              </w:rPr>
            </w:pPr>
            <w:r>
              <w:rPr>
                <w:rFonts w:hint="eastAsia" w:ascii="仿宋" w:hAnsi="仿宋" w:eastAsia="仿宋" w:cs="仿宋"/>
                <w:i w:val="0"/>
                <w:iCs w:val="0"/>
                <w:color w:val="000000"/>
                <w:kern w:val="0"/>
                <w:sz w:val="28"/>
                <w:szCs w:val="28"/>
                <w:u w:val="none"/>
                <w:lang w:val="en-US" w:eastAsia="zh-CN" w:bidi="ar"/>
              </w:rPr>
              <w:t>6小时＜使用时间≤8小时</w:t>
            </w:r>
          </w:p>
        </w:tc>
        <w:tc>
          <w:tcPr>
            <w:tcW w:w="900" w:type="dxa"/>
            <w:tcBorders>
              <w:top w:val="nil"/>
              <w:left w:val="nil"/>
              <w:bottom w:val="single" w:color="auto" w:sz="4" w:space="0"/>
              <w:right w:val="single" w:color="auto" w:sz="4" w:space="0"/>
            </w:tcBorders>
            <w:shd w:val="clear" w:color="auto" w:fill="auto"/>
            <w:noWrap/>
            <w:vAlign w:val="center"/>
          </w:tcPr>
          <w:p w14:paraId="2F20F3BD">
            <w:pPr>
              <w:keepNext w:val="0"/>
              <w:keepLines w:val="0"/>
              <w:widowControl/>
              <w:suppressLineNumbers w:val="0"/>
              <w:jc w:val="center"/>
              <w:textAlignment w:val="center"/>
              <w:rPr>
                <w:rFonts w:hint="eastAsia" w:ascii="仿宋" w:hAnsi="仿宋" w:eastAsia="仿宋"/>
                <w:sz w:val="28"/>
                <w:szCs w:val="28"/>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nil"/>
              <w:bottom w:val="single" w:color="auto" w:sz="4" w:space="0"/>
              <w:right w:val="single" w:color="auto" w:sz="4" w:space="0"/>
            </w:tcBorders>
            <w:shd w:val="clear" w:color="auto" w:fill="auto"/>
            <w:noWrap/>
            <w:vAlign w:val="center"/>
          </w:tcPr>
          <w:p w14:paraId="20846057">
            <w:pPr>
              <w:jc w:val="center"/>
              <w:rPr>
                <w:rFonts w:hint="default" w:ascii="仿宋" w:hAnsi="仿宋" w:eastAsia="仿宋"/>
                <w:sz w:val="28"/>
                <w:szCs w:val="28"/>
                <w:lang w:val="en-US" w:eastAsia="zh-CN"/>
              </w:rPr>
            </w:pPr>
          </w:p>
        </w:tc>
        <w:tc>
          <w:tcPr>
            <w:tcW w:w="1311" w:type="dxa"/>
            <w:tcBorders>
              <w:top w:val="single" w:color="auto" w:sz="4" w:space="0"/>
              <w:left w:val="nil"/>
              <w:bottom w:val="single" w:color="auto" w:sz="4" w:space="0"/>
              <w:right w:val="single" w:color="auto" w:sz="4" w:space="0"/>
            </w:tcBorders>
            <w:shd w:val="clear" w:color="auto" w:fill="auto"/>
            <w:noWrap/>
            <w:vAlign w:val="center"/>
          </w:tcPr>
          <w:p w14:paraId="1747FB7B">
            <w:pPr>
              <w:jc w:val="center"/>
              <w:rPr>
                <w:rFonts w:hint="eastAsia" w:ascii="仿宋" w:hAnsi="仿宋" w:eastAsia="仿宋"/>
                <w:sz w:val="28"/>
                <w:szCs w:val="28"/>
              </w:rPr>
            </w:pPr>
          </w:p>
        </w:tc>
      </w:tr>
      <w:tr w14:paraId="462E2555">
        <w:tblPrEx>
          <w:tblCellMar>
            <w:top w:w="0" w:type="dxa"/>
            <w:left w:w="108" w:type="dxa"/>
            <w:bottom w:w="0" w:type="dxa"/>
            <w:right w:w="108" w:type="dxa"/>
          </w:tblCellMar>
        </w:tblPrEx>
        <w:trPr>
          <w:trHeight w:val="600" w:hRule="atLeast"/>
          <w:jc w:val="center"/>
        </w:trPr>
        <w:tc>
          <w:tcPr>
            <w:tcW w:w="16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C4B52E9">
            <w:pPr>
              <w:keepNext w:val="0"/>
              <w:keepLines w:val="0"/>
              <w:widowControl/>
              <w:suppressLineNumbers w:val="0"/>
              <w:jc w:val="center"/>
              <w:textAlignment w:val="center"/>
              <w:rPr>
                <w:rFonts w:hint="eastAsia" w:ascii="仿宋" w:hAnsi="仿宋" w:eastAsia="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20T</w:t>
            </w: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F913C7">
            <w:pPr>
              <w:keepNext w:val="0"/>
              <w:keepLines w:val="0"/>
              <w:widowControl/>
              <w:suppressLineNumbers w:val="0"/>
              <w:jc w:val="center"/>
              <w:textAlignment w:val="center"/>
              <w:rPr>
                <w:rFonts w:hint="default" w:ascii="仿宋" w:hAnsi="仿宋" w:eastAsia="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1小时＜使用时间≤2小时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5667F">
            <w:pPr>
              <w:keepNext w:val="0"/>
              <w:keepLines w:val="0"/>
              <w:widowControl/>
              <w:suppressLineNumbers w:val="0"/>
              <w:jc w:val="center"/>
              <w:textAlignment w:val="center"/>
            </w:pPr>
            <w:r>
              <w:rPr>
                <w:rFonts w:hint="eastAsia" w:ascii="仿宋" w:hAnsi="仿宋" w:eastAsia="仿宋" w:cs="仿宋"/>
                <w:i w:val="0"/>
                <w:iCs w:val="0"/>
                <w:color w:val="000000"/>
                <w:kern w:val="0"/>
                <w:sz w:val="28"/>
                <w:szCs w:val="28"/>
                <w:u w:val="none"/>
                <w:lang w:val="en-US" w:eastAsia="zh-CN" w:bidi="ar"/>
              </w:rPr>
              <w:t>20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999B0">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212DA">
            <w:pPr>
              <w:jc w:val="center"/>
            </w:pPr>
          </w:p>
        </w:tc>
      </w:tr>
      <w:tr w14:paraId="3E2018F8">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56EA23">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7772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2小时＜使用时间≤4小时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BB99C">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EEDA3E">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5F625">
            <w:pPr>
              <w:jc w:val="center"/>
            </w:pPr>
          </w:p>
        </w:tc>
      </w:tr>
      <w:tr w14:paraId="2D8C625D">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C32510">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1BF80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4小时＜使用时间≤6小时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67C1E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1D1CE">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42746">
            <w:pPr>
              <w:jc w:val="center"/>
            </w:pPr>
          </w:p>
        </w:tc>
      </w:tr>
      <w:tr w14:paraId="67510BB9">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2C09C7">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474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6小时＜使用时间≤8小时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160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B087B4">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7B3C17">
            <w:pPr>
              <w:jc w:val="center"/>
            </w:pPr>
          </w:p>
        </w:tc>
      </w:tr>
      <w:tr w14:paraId="63256BD7">
        <w:tblPrEx>
          <w:tblCellMar>
            <w:top w:w="0" w:type="dxa"/>
            <w:left w:w="108" w:type="dxa"/>
            <w:bottom w:w="0" w:type="dxa"/>
            <w:right w:w="108" w:type="dxa"/>
          </w:tblCellMar>
        </w:tblPrEx>
        <w:trPr>
          <w:trHeight w:val="600" w:hRule="atLeast"/>
          <w:jc w:val="center"/>
        </w:trPr>
        <w:tc>
          <w:tcPr>
            <w:tcW w:w="16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04CCCF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25T</w:t>
            </w: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78BF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1小时＜使用时间≤2小时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2D67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B02C30">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A9E7F">
            <w:pPr>
              <w:jc w:val="center"/>
            </w:pPr>
          </w:p>
        </w:tc>
      </w:tr>
      <w:tr w14:paraId="4D1D35AD">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49305EE">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E29F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2小时＜使用时间≤4小时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ACD0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6498CC">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24264">
            <w:pPr>
              <w:jc w:val="center"/>
            </w:pPr>
          </w:p>
        </w:tc>
      </w:tr>
      <w:tr w14:paraId="33BE3303">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A47E34">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A09DB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4小时＜使用时间≤6小时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14474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ECE5ED">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E32C3">
            <w:pPr>
              <w:jc w:val="center"/>
            </w:pPr>
          </w:p>
        </w:tc>
      </w:tr>
      <w:tr w14:paraId="50400DEE">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C3DA9C1">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8B8A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6小时＜使用时间≤8小时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628D4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266100">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D50B0">
            <w:pPr>
              <w:jc w:val="center"/>
            </w:pPr>
          </w:p>
        </w:tc>
      </w:tr>
      <w:tr w14:paraId="32495F5E">
        <w:tblPrEx>
          <w:tblCellMar>
            <w:top w:w="0" w:type="dxa"/>
            <w:left w:w="108" w:type="dxa"/>
            <w:bottom w:w="0" w:type="dxa"/>
            <w:right w:w="108" w:type="dxa"/>
          </w:tblCellMar>
        </w:tblPrEx>
        <w:trPr>
          <w:trHeight w:val="600" w:hRule="atLeast"/>
          <w:jc w:val="center"/>
        </w:trPr>
        <w:tc>
          <w:tcPr>
            <w:tcW w:w="16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6C5EB7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50T</w:t>
            </w: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597434">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1小时＜使用时间≤2小时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B039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A696D">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3C032">
            <w:pPr>
              <w:jc w:val="center"/>
            </w:pPr>
          </w:p>
        </w:tc>
      </w:tr>
      <w:tr w14:paraId="5623DE63">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9965A31">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FDF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2小时＜使用时间≤4小时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3812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F52419">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52255">
            <w:pPr>
              <w:jc w:val="center"/>
            </w:pPr>
          </w:p>
        </w:tc>
      </w:tr>
      <w:tr w14:paraId="0B892EEE">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5582F4C">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1822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4小时＜使用时间≤6小时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21C0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8BA0E">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7F45A">
            <w:pPr>
              <w:jc w:val="center"/>
            </w:pPr>
          </w:p>
        </w:tc>
      </w:tr>
      <w:tr w14:paraId="556C1542">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5C65212">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3E4A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6小时＜使用时间≤8小时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2526D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B36C2">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C2B0F">
            <w:pPr>
              <w:jc w:val="center"/>
            </w:pPr>
          </w:p>
        </w:tc>
      </w:tr>
      <w:tr w14:paraId="11FEBED6">
        <w:tblPrEx>
          <w:tblCellMar>
            <w:top w:w="0" w:type="dxa"/>
            <w:left w:w="108" w:type="dxa"/>
            <w:bottom w:w="0" w:type="dxa"/>
            <w:right w:w="108" w:type="dxa"/>
          </w:tblCellMar>
        </w:tblPrEx>
        <w:trPr>
          <w:trHeight w:val="600" w:hRule="atLeast"/>
          <w:jc w:val="center"/>
        </w:trPr>
        <w:tc>
          <w:tcPr>
            <w:tcW w:w="16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89131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75T</w:t>
            </w: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D4F4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1小时＜使用时间≤2小时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B7D53">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63748">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032FA8">
            <w:pPr>
              <w:jc w:val="center"/>
            </w:pPr>
          </w:p>
        </w:tc>
      </w:tr>
      <w:tr w14:paraId="4C64AE3F">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6E94E78">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2AF4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2小时＜使用时间≤4小时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6FEFC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E5B481">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AA3D0">
            <w:pPr>
              <w:jc w:val="center"/>
            </w:pPr>
          </w:p>
        </w:tc>
      </w:tr>
      <w:tr w14:paraId="2D0F42E6">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2F6FA3F">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D8A6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4小时＜使用时间≤6小时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13F66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19CEFB">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D5FB6">
            <w:pPr>
              <w:jc w:val="center"/>
            </w:pPr>
          </w:p>
        </w:tc>
      </w:tr>
      <w:tr w14:paraId="308068C3">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DE8911A">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CAE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6小时＜使用时间≤8小时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80203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7D1AA7">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F0DFBC">
            <w:pPr>
              <w:jc w:val="center"/>
            </w:pPr>
          </w:p>
        </w:tc>
      </w:tr>
      <w:tr w14:paraId="7A143A88">
        <w:tblPrEx>
          <w:tblCellMar>
            <w:top w:w="0" w:type="dxa"/>
            <w:left w:w="108" w:type="dxa"/>
            <w:bottom w:w="0" w:type="dxa"/>
            <w:right w:w="108" w:type="dxa"/>
          </w:tblCellMar>
        </w:tblPrEx>
        <w:trPr>
          <w:trHeight w:val="600" w:hRule="atLeast"/>
          <w:jc w:val="center"/>
        </w:trPr>
        <w:tc>
          <w:tcPr>
            <w:tcW w:w="169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EFDF8E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100T</w:t>
            </w: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22D87">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1小时＜使用时间≤2小时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EA151">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6A0A2">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CF0374">
            <w:pPr>
              <w:jc w:val="center"/>
            </w:pPr>
          </w:p>
        </w:tc>
      </w:tr>
      <w:tr w14:paraId="71D6208A">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435A1A0">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92224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2小时＜使用时间≤4小时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D2197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E5E9AB">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14AA17">
            <w:pPr>
              <w:jc w:val="center"/>
            </w:pPr>
          </w:p>
        </w:tc>
      </w:tr>
      <w:tr w14:paraId="004EBF2A">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AC3B530">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3F05F">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4小时＜使用时间≤6小时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53F6D">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73B27">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4D6E7">
            <w:pPr>
              <w:jc w:val="center"/>
            </w:pPr>
          </w:p>
        </w:tc>
      </w:tr>
      <w:tr w14:paraId="1C187A64">
        <w:tblPrEx>
          <w:tblCellMar>
            <w:top w:w="0" w:type="dxa"/>
            <w:left w:w="108" w:type="dxa"/>
            <w:bottom w:w="0" w:type="dxa"/>
            <w:right w:w="108" w:type="dxa"/>
          </w:tblCellMar>
        </w:tblPrEx>
        <w:trPr>
          <w:trHeight w:val="600" w:hRule="atLeast"/>
          <w:jc w:val="center"/>
        </w:trPr>
        <w:tc>
          <w:tcPr>
            <w:tcW w:w="1690"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D27C7E">
            <w:pPr>
              <w:jc w:val="center"/>
              <w:rPr>
                <w:rFonts w:hint="eastAsia" w:ascii="仿宋" w:hAnsi="仿宋" w:eastAsia="仿宋" w:cs="仿宋"/>
                <w:i w:val="0"/>
                <w:iCs w:val="0"/>
                <w:color w:val="000000"/>
                <w:kern w:val="0"/>
                <w:sz w:val="28"/>
                <w:szCs w:val="28"/>
                <w:u w:val="none"/>
                <w:lang w:val="en-US" w:eastAsia="zh-CN" w:bidi="ar"/>
              </w:rPr>
            </w:pP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1F4C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6小时＜使用时间≤8小时</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39B21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8E206E">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3464D6">
            <w:pPr>
              <w:jc w:val="center"/>
            </w:pPr>
          </w:p>
        </w:tc>
      </w:tr>
      <w:tr w14:paraId="7792C3E2">
        <w:tblPrEx>
          <w:tblCellMar>
            <w:top w:w="0" w:type="dxa"/>
            <w:left w:w="108" w:type="dxa"/>
            <w:bottom w:w="0" w:type="dxa"/>
            <w:right w:w="108" w:type="dxa"/>
          </w:tblCellMar>
        </w:tblPrEx>
        <w:trPr>
          <w:trHeight w:val="600" w:hRule="atLeast"/>
          <w:jc w:val="center"/>
        </w:trPr>
        <w:tc>
          <w:tcPr>
            <w:tcW w:w="1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ECB03">
            <w:pPr>
              <w:jc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33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DAEDE">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5E3B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EF59D">
            <w:pPr>
              <w:jc w:val="center"/>
            </w:pPr>
          </w:p>
        </w:tc>
        <w:tc>
          <w:tcPr>
            <w:tcW w:w="13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F756F">
            <w:pPr>
              <w:jc w:val="center"/>
            </w:pPr>
          </w:p>
        </w:tc>
      </w:tr>
    </w:tbl>
    <w:p w14:paraId="6D2482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超出8小时，累计作业时间/8小时*台班费。每个台班为8小时，以车辆进出场工作时间为准。（含税6%）开具专用增值税发票。</w:t>
      </w:r>
    </w:p>
    <w:tbl>
      <w:tblPr>
        <w:tblStyle w:val="2"/>
        <w:tblW w:w="8583" w:type="dxa"/>
        <w:jc w:val="center"/>
        <w:tblLayout w:type="fixed"/>
        <w:tblCellMar>
          <w:top w:w="0" w:type="dxa"/>
          <w:left w:w="108" w:type="dxa"/>
          <w:bottom w:w="0" w:type="dxa"/>
          <w:right w:w="108" w:type="dxa"/>
        </w:tblCellMar>
      </w:tblPr>
      <w:tblGrid>
        <w:gridCol w:w="1717"/>
        <w:gridCol w:w="3599"/>
        <w:gridCol w:w="934"/>
        <w:gridCol w:w="1137"/>
        <w:gridCol w:w="1196"/>
      </w:tblGrid>
      <w:tr w14:paraId="4A07EB76">
        <w:tblPrEx>
          <w:tblCellMar>
            <w:top w:w="0" w:type="dxa"/>
            <w:left w:w="108" w:type="dxa"/>
            <w:bottom w:w="0" w:type="dxa"/>
            <w:right w:w="108" w:type="dxa"/>
          </w:tblCellMar>
        </w:tblPrEx>
        <w:trPr>
          <w:trHeight w:val="600" w:hRule="atLeast"/>
          <w:jc w:val="center"/>
        </w:trPr>
        <w:tc>
          <w:tcPr>
            <w:tcW w:w="1717" w:type="dxa"/>
            <w:tcBorders>
              <w:top w:val="single" w:color="auto" w:sz="4" w:space="0"/>
              <w:left w:val="single" w:color="auto" w:sz="4" w:space="0"/>
              <w:bottom w:val="single" w:color="auto" w:sz="4" w:space="0"/>
              <w:right w:val="single" w:color="auto" w:sz="4" w:space="0"/>
            </w:tcBorders>
            <w:shd w:val="clear" w:color="auto" w:fill="auto"/>
            <w:vAlign w:val="center"/>
          </w:tcPr>
          <w:p w14:paraId="3D4748CB">
            <w:pPr>
              <w:keepNext w:val="0"/>
              <w:keepLines w:val="0"/>
              <w:widowControl/>
              <w:suppressLineNumbers w:val="0"/>
              <w:jc w:val="center"/>
              <w:textAlignment w:val="center"/>
              <w:rPr>
                <w:rFonts w:ascii="仿宋" w:hAnsi="仿宋" w:eastAsia="仿宋" w:cs="宋体"/>
                <w:color w:val="000000"/>
                <w:kern w:val="0"/>
                <w:sz w:val="28"/>
                <w:szCs w:val="28"/>
              </w:rPr>
            </w:pPr>
            <w:r>
              <w:rPr>
                <w:rFonts w:hint="eastAsia" w:ascii="仿宋" w:hAnsi="仿宋" w:eastAsia="仿宋" w:cs="仿宋"/>
                <w:i w:val="0"/>
                <w:iCs w:val="0"/>
                <w:color w:val="000000"/>
                <w:kern w:val="0"/>
                <w:sz w:val="28"/>
                <w:szCs w:val="28"/>
                <w:u w:val="none"/>
                <w:lang w:val="en-US" w:eastAsia="zh-CN" w:bidi="ar"/>
              </w:rPr>
              <w:t>登高作业车规格</w:t>
            </w:r>
          </w:p>
        </w:tc>
        <w:tc>
          <w:tcPr>
            <w:tcW w:w="3599" w:type="dxa"/>
            <w:tcBorders>
              <w:top w:val="single" w:color="auto" w:sz="4" w:space="0"/>
              <w:left w:val="nil"/>
              <w:bottom w:val="single" w:color="auto" w:sz="4" w:space="0"/>
              <w:right w:val="single" w:color="auto" w:sz="4" w:space="0"/>
            </w:tcBorders>
            <w:shd w:val="clear" w:color="auto" w:fill="auto"/>
            <w:noWrap/>
            <w:vAlign w:val="center"/>
          </w:tcPr>
          <w:p w14:paraId="75029A6D">
            <w:pPr>
              <w:keepNext w:val="0"/>
              <w:keepLines w:val="0"/>
              <w:widowControl/>
              <w:suppressLineNumbers w:val="0"/>
              <w:jc w:val="center"/>
              <w:textAlignment w:val="center"/>
              <w:rPr>
                <w:rFonts w:hint="default" w:ascii="仿宋" w:hAnsi="仿宋" w:eastAsia="仿宋" w:cs="宋体"/>
                <w:color w:val="000000"/>
                <w:kern w:val="0"/>
                <w:sz w:val="28"/>
                <w:szCs w:val="28"/>
                <w:lang w:val="en-US" w:eastAsia="zh-CN"/>
              </w:rPr>
            </w:pPr>
            <w:r>
              <w:rPr>
                <w:rFonts w:hint="eastAsia" w:ascii="仿宋" w:hAnsi="仿宋" w:eastAsia="仿宋" w:cs="仿宋"/>
                <w:i w:val="0"/>
                <w:iCs w:val="0"/>
                <w:color w:val="000000"/>
                <w:kern w:val="0"/>
                <w:sz w:val="28"/>
                <w:szCs w:val="28"/>
                <w:u w:val="none"/>
                <w:lang w:val="en-US" w:eastAsia="zh-CN" w:bidi="ar"/>
              </w:rPr>
              <w:t>使用时间</w:t>
            </w:r>
          </w:p>
        </w:tc>
        <w:tc>
          <w:tcPr>
            <w:tcW w:w="934" w:type="dxa"/>
            <w:tcBorders>
              <w:top w:val="single" w:color="auto" w:sz="4" w:space="0"/>
              <w:left w:val="nil"/>
              <w:bottom w:val="single" w:color="auto" w:sz="4" w:space="0"/>
              <w:right w:val="single" w:color="auto" w:sz="4" w:space="0"/>
            </w:tcBorders>
            <w:shd w:val="clear" w:color="auto" w:fill="auto"/>
            <w:noWrap/>
            <w:vAlign w:val="center"/>
          </w:tcPr>
          <w:p w14:paraId="55693E88">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预计次数</w:t>
            </w:r>
          </w:p>
        </w:tc>
        <w:tc>
          <w:tcPr>
            <w:tcW w:w="1137" w:type="dxa"/>
            <w:tcBorders>
              <w:top w:val="single" w:color="auto" w:sz="4" w:space="0"/>
              <w:left w:val="nil"/>
              <w:bottom w:val="single" w:color="auto" w:sz="4" w:space="0"/>
              <w:right w:val="single" w:color="auto" w:sz="4" w:space="0"/>
            </w:tcBorders>
            <w:shd w:val="clear" w:color="auto" w:fill="auto"/>
            <w:noWrap/>
            <w:vAlign w:val="center"/>
          </w:tcPr>
          <w:p w14:paraId="7ABD6F7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单价</w:t>
            </w:r>
          </w:p>
        </w:tc>
        <w:tc>
          <w:tcPr>
            <w:tcW w:w="1196" w:type="dxa"/>
            <w:tcBorders>
              <w:top w:val="single" w:color="auto" w:sz="4" w:space="0"/>
              <w:left w:val="nil"/>
              <w:bottom w:val="single" w:color="auto" w:sz="4" w:space="0"/>
              <w:right w:val="single" w:color="auto" w:sz="4" w:space="0"/>
            </w:tcBorders>
            <w:shd w:val="clear" w:color="auto" w:fill="auto"/>
            <w:noWrap/>
            <w:vAlign w:val="center"/>
          </w:tcPr>
          <w:p w14:paraId="639389C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r>
      <w:tr w14:paraId="26292997">
        <w:tblPrEx>
          <w:tblCellMar>
            <w:top w:w="0" w:type="dxa"/>
            <w:left w:w="108" w:type="dxa"/>
            <w:bottom w:w="0" w:type="dxa"/>
            <w:right w:w="108" w:type="dxa"/>
          </w:tblCellMar>
        </w:tblPrEx>
        <w:trPr>
          <w:trHeight w:val="600" w:hRule="atLeast"/>
          <w:jc w:val="center"/>
        </w:trPr>
        <w:tc>
          <w:tcPr>
            <w:tcW w:w="1717" w:type="dxa"/>
            <w:vMerge w:val="restart"/>
            <w:tcBorders>
              <w:top w:val="nil"/>
              <w:left w:val="single" w:color="auto" w:sz="4" w:space="0"/>
              <w:bottom w:val="single" w:color="auto" w:sz="4" w:space="0"/>
              <w:right w:val="single" w:color="auto" w:sz="4" w:space="0"/>
            </w:tcBorders>
            <w:shd w:val="clear" w:color="auto" w:fill="auto"/>
            <w:noWrap/>
            <w:vAlign w:val="center"/>
          </w:tcPr>
          <w:p w14:paraId="1649EAC6">
            <w:pPr>
              <w:keepNext w:val="0"/>
              <w:keepLines w:val="0"/>
              <w:widowControl/>
              <w:suppressLineNumbers w:val="0"/>
              <w:jc w:val="center"/>
              <w:textAlignment w:val="center"/>
              <w:rPr>
                <w:rFonts w:hint="eastAsia" w:ascii="仿宋" w:hAnsi="仿宋" w:eastAsia="仿宋"/>
                <w:sz w:val="28"/>
                <w:szCs w:val="28"/>
              </w:rPr>
            </w:pPr>
            <w:r>
              <w:rPr>
                <w:rFonts w:hint="eastAsia" w:ascii="仿宋" w:hAnsi="仿宋" w:eastAsia="仿宋" w:cs="宋体"/>
                <w:color w:val="000000"/>
                <w:kern w:val="0"/>
                <w:sz w:val="28"/>
                <w:szCs w:val="28"/>
                <w:lang w:val="en-US" w:eastAsia="zh-CN"/>
              </w:rPr>
              <w:t>半径不低于15米，举升高度不低于20米</w:t>
            </w:r>
          </w:p>
        </w:tc>
        <w:tc>
          <w:tcPr>
            <w:tcW w:w="3599" w:type="dxa"/>
            <w:tcBorders>
              <w:top w:val="nil"/>
              <w:left w:val="nil"/>
              <w:bottom w:val="single" w:color="auto" w:sz="4" w:space="0"/>
              <w:right w:val="single" w:color="auto" w:sz="4" w:space="0"/>
            </w:tcBorders>
            <w:shd w:val="clear" w:color="auto" w:fill="auto"/>
            <w:noWrap/>
            <w:vAlign w:val="center"/>
          </w:tcPr>
          <w:p w14:paraId="09EB3E5E">
            <w:pPr>
              <w:keepNext w:val="0"/>
              <w:keepLines w:val="0"/>
              <w:widowControl/>
              <w:suppressLineNumbers w:val="0"/>
              <w:jc w:val="center"/>
              <w:textAlignment w:val="center"/>
              <w:rPr>
                <w:rFonts w:hint="default" w:ascii="仿宋" w:hAnsi="仿宋" w:eastAsia="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1小时＜使用时间≤2小时</w:t>
            </w:r>
          </w:p>
        </w:tc>
        <w:tc>
          <w:tcPr>
            <w:tcW w:w="934" w:type="dxa"/>
            <w:tcBorders>
              <w:top w:val="nil"/>
              <w:left w:val="nil"/>
              <w:bottom w:val="single" w:color="auto" w:sz="4" w:space="0"/>
              <w:right w:val="single" w:color="auto" w:sz="4" w:space="0"/>
            </w:tcBorders>
            <w:shd w:val="clear" w:color="auto" w:fill="auto"/>
            <w:noWrap/>
            <w:vAlign w:val="center"/>
          </w:tcPr>
          <w:p w14:paraId="6A847FA5">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10</w:t>
            </w:r>
          </w:p>
        </w:tc>
        <w:tc>
          <w:tcPr>
            <w:tcW w:w="1137" w:type="dxa"/>
            <w:tcBorders>
              <w:top w:val="nil"/>
              <w:left w:val="nil"/>
              <w:bottom w:val="single" w:color="auto" w:sz="4" w:space="0"/>
              <w:right w:val="single" w:color="auto" w:sz="4" w:space="0"/>
            </w:tcBorders>
            <w:shd w:val="clear" w:color="auto" w:fill="auto"/>
            <w:noWrap/>
            <w:vAlign w:val="center"/>
          </w:tcPr>
          <w:p w14:paraId="3E47D50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196" w:type="dxa"/>
            <w:tcBorders>
              <w:top w:val="nil"/>
              <w:left w:val="nil"/>
              <w:bottom w:val="single" w:color="auto" w:sz="4" w:space="0"/>
              <w:right w:val="single" w:color="auto" w:sz="4" w:space="0"/>
            </w:tcBorders>
            <w:shd w:val="clear" w:color="auto" w:fill="auto"/>
            <w:noWrap/>
            <w:vAlign w:val="center"/>
          </w:tcPr>
          <w:p w14:paraId="7656FCC2">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35A14BC5">
        <w:tblPrEx>
          <w:tblCellMar>
            <w:top w:w="0" w:type="dxa"/>
            <w:left w:w="108" w:type="dxa"/>
            <w:bottom w:w="0" w:type="dxa"/>
            <w:right w:w="108" w:type="dxa"/>
          </w:tblCellMar>
        </w:tblPrEx>
        <w:trPr>
          <w:trHeight w:val="600" w:hRule="atLeast"/>
          <w:jc w:val="center"/>
        </w:trPr>
        <w:tc>
          <w:tcPr>
            <w:tcW w:w="17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A00B8E4">
            <w:pPr>
              <w:jc w:val="center"/>
              <w:rPr>
                <w:rFonts w:hint="eastAsia" w:ascii="仿宋" w:hAnsi="仿宋" w:eastAsia="仿宋"/>
                <w:sz w:val="28"/>
                <w:szCs w:val="28"/>
              </w:rPr>
            </w:pPr>
          </w:p>
        </w:tc>
        <w:tc>
          <w:tcPr>
            <w:tcW w:w="3599" w:type="dxa"/>
            <w:tcBorders>
              <w:top w:val="single" w:color="auto" w:sz="4" w:space="0"/>
              <w:left w:val="nil"/>
              <w:bottom w:val="single" w:color="auto" w:sz="4" w:space="0"/>
              <w:right w:val="single" w:color="auto" w:sz="4" w:space="0"/>
            </w:tcBorders>
            <w:shd w:val="clear" w:color="auto" w:fill="auto"/>
            <w:noWrap/>
            <w:vAlign w:val="center"/>
          </w:tcPr>
          <w:p w14:paraId="2AA10068">
            <w:pPr>
              <w:keepNext w:val="0"/>
              <w:keepLines w:val="0"/>
              <w:widowControl/>
              <w:suppressLineNumbers w:val="0"/>
              <w:jc w:val="center"/>
              <w:textAlignment w:val="center"/>
              <w:rPr>
                <w:rFonts w:hint="default" w:ascii="仿宋" w:hAnsi="仿宋" w:eastAsia="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2小时＜使用时间≤4小时</w:t>
            </w:r>
          </w:p>
        </w:tc>
        <w:tc>
          <w:tcPr>
            <w:tcW w:w="934" w:type="dxa"/>
            <w:tcBorders>
              <w:top w:val="single" w:color="auto" w:sz="4" w:space="0"/>
              <w:left w:val="nil"/>
              <w:bottom w:val="single" w:color="auto" w:sz="4" w:space="0"/>
              <w:right w:val="single" w:color="auto" w:sz="4" w:space="0"/>
            </w:tcBorders>
            <w:shd w:val="clear" w:color="auto" w:fill="auto"/>
            <w:noWrap/>
            <w:vAlign w:val="center"/>
          </w:tcPr>
          <w:p w14:paraId="4A2E0008">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5</w:t>
            </w:r>
          </w:p>
        </w:tc>
        <w:tc>
          <w:tcPr>
            <w:tcW w:w="1137" w:type="dxa"/>
            <w:tcBorders>
              <w:top w:val="single" w:color="auto" w:sz="4" w:space="0"/>
              <w:left w:val="nil"/>
              <w:bottom w:val="single" w:color="auto" w:sz="4" w:space="0"/>
              <w:right w:val="single" w:color="auto" w:sz="4" w:space="0"/>
            </w:tcBorders>
            <w:shd w:val="clear" w:color="auto" w:fill="auto"/>
            <w:noWrap/>
            <w:vAlign w:val="center"/>
          </w:tcPr>
          <w:p w14:paraId="1879E586">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196" w:type="dxa"/>
            <w:tcBorders>
              <w:top w:val="single" w:color="auto" w:sz="4" w:space="0"/>
              <w:left w:val="nil"/>
              <w:bottom w:val="single" w:color="auto" w:sz="4" w:space="0"/>
              <w:right w:val="single" w:color="auto" w:sz="4" w:space="0"/>
            </w:tcBorders>
            <w:shd w:val="clear" w:color="auto" w:fill="auto"/>
            <w:noWrap/>
            <w:vAlign w:val="center"/>
          </w:tcPr>
          <w:p w14:paraId="7FE9677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52724CB7">
        <w:tblPrEx>
          <w:tblCellMar>
            <w:top w:w="0" w:type="dxa"/>
            <w:left w:w="108" w:type="dxa"/>
            <w:bottom w:w="0" w:type="dxa"/>
            <w:right w:w="108" w:type="dxa"/>
          </w:tblCellMar>
        </w:tblPrEx>
        <w:trPr>
          <w:trHeight w:val="600" w:hRule="atLeast"/>
          <w:jc w:val="center"/>
        </w:trPr>
        <w:tc>
          <w:tcPr>
            <w:tcW w:w="17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EE354A4">
            <w:pPr>
              <w:jc w:val="center"/>
              <w:rPr>
                <w:rFonts w:hint="eastAsia" w:ascii="仿宋" w:hAnsi="仿宋" w:eastAsia="仿宋"/>
                <w:sz w:val="28"/>
                <w:szCs w:val="28"/>
              </w:rPr>
            </w:pPr>
          </w:p>
        </w:tc>
        <w:tc>
          <w:tcPr>
            <w:tcW w:w="3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0AA696">
            <w:pPr>
              <w:keepNext w:val="0"/>
              <w:keepLines w:val="0"/>
              <w:widowControl/>
              <w:suppressLineNumbers w:val="0"/>
              <w:jc w:val="center"/>
              <w:textAlignment w:val="center"/>
              <w:rPr>
                <w:rFonts w:hint="default" w:ascii="仿宋" w:hAnsi="仿宋" w:eastAsia="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4小时＜使用时间≤6小时</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2D9DB3">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263E5">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F7880">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r w14:paraId="61D61423">
        <w:tblPrEx>
          <w:tblCellMar>
            <w:top w:w="0" w:type="dxa"/>
            <w:left w:w="108" w:type="dxa"/>
            <w:bottom w:w="0" w:type="dxa"/>
            <w:right w:w="108" w:type="dxa"/>
          </w:tblCellMar>
        </w:tblPrEx>
        <w:trPr>
          <w:trHeight w:val="600" w:hRule="atLeast"/>
          <w:jc w:val="center"/>
        </w:trPr>
        <w:tc>
          <w:tcPr>
            <w:tcW w:w="1717" w:type="dxa"/>
            <w:vMerge w:val="continue"/>
            <w:tcBorders>
              <w:top w:val="nil"/>
              <w:left w:val="single" w:color="auto" w:sz="4" w:space="0"/>
              <w:bottom w:val="single" w:color="auto" w:sz="4" w:space="0"/>
              <w:right w:val="single" w:color="auto" w:sz="4" w:space="0"/>
            </w:tcBorders>
            <w:shd w:val="clear" w:color="auto" w:fill="auto"/>
            <w:noWrap/>
            <w:vAlign w:val="center"/>
          </w:tcPr>
          <w:p w14:paraId="424712BB">
            <w:pPr>
              <w:jc w:val="center"/>
              <w:rPr>
                <w:rFonts w:hint="eastAsia" w:ascii="仿宋" w:hAnsi="仿宋" w:eastAsia="仿宋"/>
                <w:sz w:val="28"/>
                <w:szCs w:val="28"/>
              </w:rPr>
            </w:pPr>
          </w:p>
        </w:tc>
        <w:tc>
          <w:tcPr>
            <w:tcW w:w="3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420EC2">
            <w:pPr>
              <w:keepNext w:val="0"/>
              <w:keepLines w:val="0"/>
              <w:widowControl/>
              <w:suppressLineNumbers w:val="0"/>
              <w:jc w:val="center"/>
              <w:textAlignment w:val="center"/>
              <w:rPr>
                <w:rFonts w:hint="default" w:ascii="仿宋" w:hAnsi="仿宋" w:eastAsia="仿宋"/>
                <w:sz w:val="28"/>
                <w:szCs w:val="28"/>
                <w:lang w:val="en-US" w:eastAsia="zh-CN"/>
              </w:rPr>
            </w:pPr>
            <w:r>
              <w:rPr>
                <w:rFonts w:hint="eastAsia" w:ascii="仿宋" w:hAnsi="仿宋" w:eastAsia="仿宋" w:cs="仿宋"/>
                <w:i w:val="0"/>
                <w:iCs w:val="0"/>
                <w:color w:val="000000"/>
                <w:kern w:val="0"/>
                <w:sz w:val="28"/>
                <w:szCs w:val="28"/>
                <w:u w:val="none"/>
                <w:lang w:val="en-US" w:eastAsia="zh-CN" w:bidi="ar"/>
              </w:rPr>
              <w:t>6小时＜使用时间≤8小时</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BD2F5">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9877E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11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34662A">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r>
    </w:tbl>
    <w:p w14:paraId="1CFAAB0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超出8小时，累计作业时间/8小时*台班费。每个台班为8小时，以车辆进出场工作时间为准。（含税6%）开具专用增值税发票。</w:t>
      </w:r>
    </w:p>
    <w:p w14:paraId="53B172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仿宋" w:hAnsi="仿宋" w:eastAsia="仿宋"/>
          <w:b/>
          <w:bCs/>
          <w:sz w:val="28"/>
          <w:szCs w:val="28"/>
          <w:lang w:val="en-US" w:eastAsia="zh-CN"/>
        </w:rPr>
      </w:pPr>
      <w:r>
        <w:rPr>
          <w:rFonts w:hint="eastAsia" w:ascii="仿宋" w:hAnsi="仿宋" w:eastAsia="仿宋"/>
          <w:b/>
          <w:bCs/>
          <w:sz w:val="28"/>
          <w:szCs w:val="28"/>
          <w:lang w:val="en-US" w:eastAsia="zh-CN"/>
        </w:rPr>
        <w:t>上表仅为预估使用次数，以实际发生项目*实际使用次数结算。</w:t>
      </w:r>
    </w:p>
    <w:p w14:paraId="5E9F6E67">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rPr>
        <w:t>4、</w:t>
      </w:r>
      <w:r>
        <w:rPr>
          <w:rFonts w:hint="eastAsia" w:ascii="仿宋_GB2312" w:hAnsi="仿宋_GB2312" w:eastAsia="仿宋_GB2312" w:cs="仿宋_GB2312"/>
          <w:sz w:val="28"/>
          <w:szCs w:val="28"/>
          <w:lang w:val="en-US" w:eastAsia="zh-CN"/>
        </w:rPr>
        <w:t>工作</w:t>
      </w:r>
      <w:r>
        <w:rPr>
          <w:rFonts w:hint="eastAsia" w:ascii="仿宋_GB2312" w:hAnsi="仿宋_GB2312" w:eastAsia="仿宋_GB2312" w:cs="仿宋_GB2312"/>
          <w:sz w:val="28"/>
          <w:szCs w:val="28"/>
          <w:lang w:val="zh-CN"/>
        </w:rPr>
        <w:t>地点：济南市章丘区埠村街道办济南鲍德冶金石灰石有限公司</w:t>
      </w:r>
      <w:r>
        <w:rPr>
          <w:rFonts w:hint="eastAsia" w:ascii="仿宋_GB2312" w:hAnsi="仿宋_GB2312" w:eastAsia="仿宋_GB2312" w:cs="仿宋_GB2312"/>
          <w:sz w:val="28"/>
          <w:szCs w:val="28"/>
          <w:lang w:val="en-US" w:eastAsia="zh-CN"/>
        </w:rPr>
        <w:t>办公楼翟家庄矿区</w:t>
      </w:r>
    </w:p>
    <w:p w14:paraId="27EBF6E7">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四、投标人资格要求</w:t>
      </w:r>
    </w:p>
    <w:p w14:paraId="30B4B794">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本次竞争性谈判要求投标人须具备：</w:t>
      </w:r>
    </w:p>
    <w:p w14:paraId="621D1C40">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1.</w:t>
      </w:r>
      <w:r>
        <w:rPr>
          <w:rFonts w:hint="eastAsia" w:ascii="仿宋_GB2312" w:hAnsi="仿宋_GB2312" w:eastAsia="仿宋_GB2312" w:cs="仿宋_GB2312"/>
          <w:sz w:val="28"/>
          <w:szCs w:val="28"/>
          <w:lang w:val="zh-CN"/>
        </w:rPr>
        <w:t>投标人为依法登记注册，具有独立承担民事责任的能力，企业营业执照经营范围应覆盖投标项目范围</w:t>
      </w:r>
      <w:r>
        <w:rPr>
          <w:rFonts w:ascii="仿宋_GB2312" w:hAnsi="仿宋_GB2312" w:eastAsia="仿宋_GB2312" w:cs="仿宋_GB2312"/>
          <w:sz w:val="28"/>
          <w:szCs w:val="28"/>
          <w:lang w:val="zh-CN"/>
        </w:rPr>
        <w:t>。</w:t>
      </w:r>
    </w:p>
    <w:p w14:paraId="34082492">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2.202</w:t>
      </w:r>
      <w:r>
        <w:rPr>
          <w:rFonts w:hint="eastAsia" w:ascii="仿宋_GB2312" w:hAnsi="仿宋_GB2312" w:eastAsia="仿宋_GB2312" w:cs="仿宋_GB2312"/>
          <w:sz w:val="28"/>
          <w:szCs w:val="28"/>
          <w:lang w:val="en-US" w:eastAsia="zh-CN"/>
        </w:rPr>
        <w:t>3</w:t>
      </w:r>
      <w:r>
        <w:rPr>
          <w:rFonts w:ascii="仿宋_GB2312" w:hAnsi="仿宋_GB2312" w:eastAsia="仿宋_GB2312" w:cs="仿宋_GB2312"/>
          <w:sz w:val="28"/>
          <w:szCs w:val="28"/>
          <w:lang w:val="zh-CN"/>
        </w:rPr>
        <w:t>年至今类似项目业绩</w:t>
      </w:r>
      <w:r>
        <w:rPr>
          <w:rFonts w:hint="eastAsia" w:ascii="仿宋_GB2312" w:hAnsi="仿宋_GB2312" w:eastAsia="仿宋_GB2312" w:cs="仿宋_GB2312"/>
          <w:sz w:val="28"/>
          <w:szCs w:val="28"/>
          <w:lang w:val="en-US" w:eastAsia="zh-CN"/>
        </w:rPr>
        <w:t>不低于</w:t>
      </w:r>
      <w:r>
        <w:rPr>
          <w:rFonts w:ascii="仿宋_GB2312" w:hAnsi="仿宋_GB2312" w:eastAsia="仿宋_GB2312" w:cs="仿宋_GB2312"/>
          <w:sz w:val="28"/>
          <w:szCs w:val="28"/>
          <w:lang w:val="zh-CN"/>
        </w:rPr>
        <w:t>3项。</w:t>
      </w:r>
    </w:p>
    <w:p w14:paraId="5F0BC3D9">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3.良好的企业信誉和健全的财务会计制度。</w:t>
      </w:r>
    </w:p>
    <w:p w14:paraId="3611B3F7">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4.具有项目必需的设备、专业技术、资质能力。</w:t>
      </w:r>
    </w:p>
    <w:p w14:paraId="32FD080A">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5.有依法缴纳税收和社会保障金的良好记录。</w:t>
      </w:r>
    </w:p>
    <w:p w14:paraId="5242FFCD">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6.在经营活动中无违法记录。</w:t>
      </w:r>
    </w:p>
    <w:p w14:paraId="570C9193">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7.不接受联合体谈判。</w:t>
      </w:r>
    </w:p>
    <w:p w14:paraId="1A10C9A5">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8.所有资质文件必须提供原件到现场由谈判组成员审核。</w:t>
      </w:r>
    </w:p>
    <w:p w14:paraId="7510023C">
      <w:pPr>
        <w:widowControl/>
        <w:autoSpaceDE w:val="0"/>
        <w:autoSpaceDN w:val="0"/>
        <w:adjustRightInd w:val="0"/>
        <w:spacing w:line="360" w:lineRule="exact"/>
        <w:ind w:firstLine="562" w:firstLineChars="200"/>
        <w:jc w:val="left"/>
        <w:rPr>
          <w:rFonts w:ascii="仿宋_GB2312" w:hAnsi="仿宋_GB2312" w:eastAsia="仿宋_GB2312" w:cs="仿宋_GB2312"/>
          <w:b/>
          <w:bCs/>
          <w:kern w:val="0"/>
          <w:sz w:val="28"/>
          <w:szCs w:val="28"/>
          <w:lang w:val="zh-CN"/>
        </w:rPr>
      </w:pPr>
      <w:r>
        <w:rPr>
          <w:rFonts w:hint="eastAsia" w:ascii="仿宋_GB2312" w:hAnsi="仿宋_GB2312" w:eastAsia="仿宋_GB2312" w:cs="仿宋_GB2312"/>
          <w:b/>
          <w:bCs/>
          <w:kern w:val="0"/>
          <w:sz w:val="28"/>
          <w:szCs w:val="28"/>
          <w:lang w:val="zh-CN"/>
        </w:rPr>
        <w:t xml:space="preserve">五、公告及报名时间 </w:t>
      </w:r>
    </w:p>
    <w:p w14:paraId="5B944991">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 xml:space="preserve">1.报名方式：通过登录济钢集团有限公司阳光购销平台网上报名，平台网址：http://bidding.jigang.com.cn/； </w:t>
      </w:r>
    </w:p>
    <w:p w14:paraId="152EA37C">
      <w:pPr>
        <w:spacing w:line="360" w:lineRule="auto"/>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2.公告和报名时间：202</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ascii="仿宋_GB2312" w:hAnsi="仿宋_GB2312" w:eastAsia="仿宋_GB2312" w:cs="仿宋_GB2312"/>
          <w:sz w:val="28"/>
          <w:szCs w:val="28"/>
        </w:rPr>
        <w:t>日～202</w:t>
      </w:r>
      <w:r>
        <w:rPr>
          <w:rFonts w:hint="eastAsia" w:ascii="仿宋_GB2312" w:hAnsi="仿宋_GB2312" w:eastAsia="仿宋_GB2312" w:cs="仿宋_GB2312"/>
          <w:sz w:val="28"/>
          <w:szCs w:val="28"/>
          <w:lang w:val="en-US" w:eastAsia="zh-CN"/>
        </w:rPr>
        <w:t>5</w:t>
      </w:r>
      <w:r>
        <w:rPr>
          <w:rFonts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17 </w:t>
      </w:r>
      <w:r>
        <w:rPr>
          <w:rFonts w:ascii="仿宋_GB2312" w:hAnsi="仿宋_GB2312" w:eastAsia="仿宋_GB2312" w:cs="仿宋_GB2312"/>
          <w:sz w:val="28"/>
          <w:szCs w:val="28"/>
        </w:rPr>
        <w:t>日（北京时间）。</w:t>
      </w:r>
    </w:p>
    <w:p w14:paraId="6AEE33A7">
      <w:pPr>
        <w:spacing w:line="360" w:lineRule="auto"/>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3.谈判时间：2025年12月18日上午:8:30分</w:t>
      </w:r>
    </w:p>
    <w:p w14:paraId="4A097471">
      <w:pPr>
        <w:spacing w:line="360" w:lineRule="auto"/>
        <w:ind w:firstLine="560"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.踏勘现场：本次</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项目</w:t>
      </w:r>
      <w:r>
        <w:rPr>
          <w:rFonts w:hint="eastAsia" w:ascii="仿宋_GB2312" w:hAnsi="仿宋_GB2312" w:eastAsia="仿宋_GB2312" w:cs="仿宋_GB2312"/>
          <w:sz w:val="28"/>
          <w:szCs w:val="28"/>
          <w:lang w:val="en-US" w:eastAsia="zh-CN"/>
        </w:rPr>
        <w:t>各投标单位自行联系确定时间踏勘现场</w:t>
      </w:r>
      <w:r>
        <w:rPr>
          <w:rFonts w:hint="eastAsia" w:ascii="仿宋_GB2312" w:hAnsi="仿宋_GB2312" w:eastAsia="仿宋_GB2312" w:cs="仿宋_GB2312"/>
          <w:b/>
          <w:bCs/>
          <w:sz w:val="28"/>
          <w:szCs w:val="28"/>
          <w:lang w:val="en-US" w:eastAsia="zh-CN"/>
        </w:rPr>
        <w:t>联系人程工：15314119619</w:t>
      </w:r>
    </w:p>
    <w:p w14:paraId="29FCB7D9">
      <w:pPr>
        <w:widowControl/>
        <w:autoSpaceDE w:val="0"/>
        <w:autoSpaceDN w:val="0"/>
        <w:adjustRightInd w:val="0"/>
        <w:spacing w:line="360" w:lineRule="exact"/>
        <w:ind w:firstLine="562" w:firstLineChars="200"/>
        <w:jc w:val="left"/>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lang w:val="zh-CN"/>
        </w:rPr>
        <w:t>六、竞争性谈判文件</w:t>
      </w:r>
      <w:r>
        <w:rPr>
          <w:rFonts w:hint="eastAsia" w:ascii="仿宋_GB2312" w:hAnsi="仿宋_GB2312" w:eastAsia="仿宋_GB2312" w:cs="仿宋_GB2312"/>
          <w:b/>
          <w:bCs/>
          <w:kern w:val="0"/>
          <w:sz w:val="28"/>
          <w:szCs w:val="28"/>
        </w:rPr>
        <w:t>:</w:t>
      </w:r>
    </w:p>
    <w:p w14:paraId="7DDE9ACC">
      <w:pPr>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1、发布</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文件开始时</w:t>
      </w:r>
      <w:r>
        <w:rPr>
          <w:rFonts w:hint="eastAsia" w:ascii="仿宋_GB2312" w:hAnsi="仿宋_GB2312" w:eastAsia="仿宋_GB2312" w:cs="仿宋_GB2312"/>
          <w:sz w:val="28"/>
          <w:szCs w:val="28"/>
          <w:lang w:eastAsia="zh-CN"/>
        </w:rPr>
        <w:t>间：202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 xml:space="preserve"> 15</w:t>
      </w:r>
      <w:r>
        <w:rPr>
          <w:rFonts w:hint="eastAsia" w:ascii="仿宋_GB2312" w:hAnsi="仿宋_GB2312" w:eastAsia="仿宋_GB2312" w:cs="仿宋_GB2312"/>
          <w:sz w:val="28"/>
          <w:szCs w:val="28"/>
          <w:lang w:eastAsia="zh-CN"/>
        </w:rPr>
        <w:t>日；</w:t>
      </w:r>
    </w:p>
    <w:p w14:paraId="2B3D0657">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2、获取方式：</w:t>
      </w:r>
      <w:r>
        <w:rPr>
          <w:rFonts w:ascii="仿宋_GB2312" w:hAnsi="仿宋_GB2312" w:eastAsia="仿宋_GB2312" w:cs="仿宋_GB2312"/>
          <w:sz w:val="28"/>
          <w:szCs w:val="28"/>
        </w:rPr>
        <w:t xml:space="preserve">通过登录济钢集团有限公司阳光购销平台网上报名，平台网址：http://bidding.jigang.com.cn/； </w:t>
      </w:r>
      <w:r>
        <w:rPr>
          <w:rFonts w:hint="eastAsia" w:ascii="仿宋_GB2312" w:hAnsi="仿宋_GB2312" w:eastAsia="仿宋_GB2312" w:cs="仿宋_GB2312"/>
          <w:sz w:val="28"/>
          <w:szCs w:val="28"/>
        </w:rPr>
        <w:t>获取电子版，不提供纸质版</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w:t>
      </w:r>
    </w:p>
    <w:p w14:paraId="12536476">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3、售价：</w:t>
      </w:r>
      <w:r>
        <w:rPr>
          <w:rFonts w:hint="eastAsia" w:ascii="仿宋_GB2312" w:hAnsi="仿宋_GB2312" w:eastAsia="仿宋_GB2312" w:cs="仿宋_GB2312"/>
          <w:sz w:val="28"/>
          <w:szCs w:val="28"/>
          <w:lang w:eastAsia="zh-CN"/>
        </w:rPr>
        <w:t>竞争性谈判</w:t>
      </w:r>
      <w:r>
        <w:rPr>
          <w:rFonts w:hint="eastAsia" w:ascii="仿宋_GB2312" w:hAnsi="仿宋_GB2312" w:eastAsia="仿宋_GB2312" w:cs="仿宋_GB2312"/>
          <w:sz w:val="28"/>
          <w:szCs w:val="28"/>
        </w:rPr>
        <w:t>文件免费。</w:t>
      </w:r>
    </w:p>
    <w:p w14:paraId="738DC3B0">
      <w:pPr>
        <w:spacing w:line="360" w:lineRule="auto"/>
        <w:ind w:firstLine="562" w:firstLineChars="200"/>
        <w:rPr>
          <w:rFonts w:ascii="仿宋_GB2312" w:hAnsi="仿宋_GB2312" w:eastAsia="仿宋_GB2312" w:cs="仿宋_GB2312"/>
          <w:sz w:val="28"/>
          <w:szCs w:val="28"/>
          <w:lang w:val="zh-CN"/>
        </w:rPr>
      </w:pPr>
      <w:r>
        <w:rPr>
          <w:rFonts w:hint="eastAsia" w:ascii="仿宋_GB2312" w:hAnsi="仿宋_GB2312" w:eastAsia="仿宋_GB2312" w:cs="仿宋_GB2312"/>
          <w:b/>
          <w:bCs/>
          <w:sz w:val="28"/>
          <w:szCs w:val="28"/>
          <w:lang w:val="zh-CN"/>
        </w:rPr>
        <w:t>七、投标保证金：</w:t>
      </w:r>
      <w:r>
        <w:rPr>
          <w:rFonts w:hint="eastAsia" w:ascii="仿宋_GB2312" w:hAnsi="仿宋_GB2312" w:eastAsia="仿宋_GB2312" w:cs="仿宋_GB2312"/>
          <w:b/>
          <w:bCs/>
          <w:sz w:val="28"/>
          <w:szCs w:val="28"/>
          <w:lang w:val="en-US" w:eastAsia="zh-CN"/>
        </w:rPr>
        <w:t>人民币200元（贰佰元）</w:t>
      </w:r>
      <w:r>
        <w:rPr>
          <w:rFonts w:hint="eastAsia" w:ascii="仿宋_GB2312" w:hAnsi="仿宋_GB2312" w:eastAsia="仿宋_GB2312" w:cs="仿宋_GB2312"/>
          <w:sz w:val="28"/>
          <w:szCs w:val="28"/>
          <w:lang w:val="zh-CN"/>
        </w:rPr>
        <w:t>；</w:t>
      </w:r>
    </w:p>
    <w:p w14:paraId="00F2DA59">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1、投标保证金最后缴纳日</w:t>
      </w:r>
      <w:r>
        <w:rPr>
          <w:rFonts w:hint="eastAsia" w:ascii="仿宋_GB2312" w:hAnsi="仿宋_GB2312" w:eastAsia="仿宋_GB2312" w:cs="仿宋_GB2312"/>
          <w:sz w:val="28"/>
          <w:szCs w:val="28"/>
          <w:lang w:val="zh-CN" w:eastAsia="zh-CN"/>
        </w:rPr>
        <w:t>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eastAsia="zh-CN"/>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eastAsia="zh-CN"/>
        </w:rPr>
        <w:t>月</w:t>
      </w:r>
      <w:r>
        <w:rPr>
          <w:rFonts w:hint="eastAsia" w:ascii="仿宋_GB2312" w:hAnsi="仿宋_GB2312" w:eastAsia="仿宋_GB2312" w:cs="仿宋_GB2312"/>
          <w:sz w:val="28"/>
          <w:szCs w:val="28"/>
          <w:lang w:val="en-US" w:eastAsia="zh-CN"/>
        </w:rPr>
        <w:t xml:space="preserve">17 </w:t>
      </w:r>
      <w:r>
        <w:rPr>
          <w:rFonts w:hint="eastAsia" w:ascii="仿宋_GB2312" w:hAnsi="仿宋_GB2312" w:eastAsia="仿宋_GB2312" w:cs="仿宋_GB2312"/>
          <w:sz w:val="28"/>
          <w:szCs w:val="28"/>
          <w:lang w:val="zh-CN" w:eastAsia="zh-CN"/>
        </w:rPr>
        <w:t>日下午16时。逾</w:t>
      </w:r>
      <w:r>
        <w:rPr>
          <w:rFonts w:hint="eastAsia" w:ascii="仿宋_GB2312" w:hAnsi="仿宋_GB2312" w:eastAsia="仿宋_GB2312" w:cs="仿宋_GB2312"/>
          <w:sz w:val="28"/>
          <w:szCs w:val="28"/>
          <w:lang w:val="zh-CN"/>
        </w:rPr>
        <w:t>期缴纳的，投标将被拒绝。</w:t>
      </w:r>
    </w:p>
    <w:p w14:paraId="1EAE043F">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2、投标保证金应从投标人银行基本账户内转出或汇出，为方便退还不出具收据。交款注明竞争性谈判编号及款项性质（投标保证金），并将回单及时上传至系统内。</w:t>
      </w:r>
    </w:p>
    <w:p w14:paraId="27FF80D0">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3、缴纳投标保证金账户信息：</w:t>
      </w:r>
    </w:p>
    <w:p w14:paraId="71604074">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公司名称：济南鲍德冶金石灰石有限公司</w:t>
      </w:r>
    </w:p>
    <w:p w14:paraId="02023CB3">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收款账户：农行章丘支行埠村分行</w:t>
      </w:r>
      <w:r>
        <w:rPr>
          <w:rFonts w:ascii="仿宋_GB2312" w:hAnsi="仿宋_GB2312" w:eastAsia="仿宋_GB2312" w:cs="仿宋_GB2312"/>
          <w:sz w:val="28"/>
          <w:szCs w:val="28"/>
          <w:lang w:val="zh-CN"/>
        </w:rPr>
        <w:t xml:space="preserve">  </w:t>
      </w:r>
    </w:p>
    <w:p w14:paraId="7276147A">
      <w:pPr>
        <w:spacing w:line="360" w:lineRule="auto"/>
        <w:ind w:firstLine="560" w:firstLineChars="200"/>
        <w:rPr>
          <w:rFonts w:ascii="仿宋_GB2312" w:hAnsi="仿宋_GB2312" w:eastAsia="仿宋_GB2312" w:cs="仿宋_GB2312"/>
          <w:sz w:val="28"/>
          <w:szCs w:val="28"/>
          <w:lang w:val="zh-CN"/>
        </w:rPr>
      </w:pPr>
      <w:r>
        <w:rPr>
          <w:rFonts w:ascii="仿宋_GB2312" w:hAnsi="仿宋_GB2312" w:eastAsia="仿宋_GB2312" w:cs="仿宋_GB2312"/>
          <w:sz w:val="28"/>
          <w:szCs w:val="28"/>
          <w:lang w:val="zh-CN"/>
        </w:rPr>
        <w:t xml:space="preserve">           15-137301040002766</w:t>
      </w:r>
    </w:p>
    <w:p w14:paraId="7A3D0F23">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开户行行号：</w:t>
      </w:r>
      <w:r>
        <w:rPr>
          <w:rFonts w:ascii="仿宋_GB2312" w:hAnsi="仿宋_GB2312" w:eastAsia="仿宋_GB2312" w:cs="仿宋_GB2312"/>
          <w:sz w:val="28"/>
          <w:szCs w:val="28"/>
          <w:lang w:val="zh-CN"/>
        </w:rPr>
        <w:t>103451013618</w:t>
      </w:r>
    </w:p>
    <w:p w14:paraId="614D0628">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4、投标保证金在合同签订后</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lang w:val="zh-CN"/>
        </w:rPr>
        <w:t>日内原账户无息退还。</w:t>
      </w:r>
    </w:p>
    <w:p w14:paraId="5DDAA264">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5、在递交投标文件时，携带投标保证金交款回单，以备查验。</w:t>
      </w:r>
    </w:p>
    <w:p w14:paraId="1A54198E">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八、投标文件的递交</w:t>
      </w:r>
    </w:p>
    <w:p w14:paraId="4EB93D59">
      <w:pPr>
        <w:spacing w:line="360" w:lineRule="auto"/>
        <w:ind w:firstLine="560" w:firstLineChars="200"/>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1、投标文件递交的截止时间（投标截止时间，下同）为202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 xml:space="preserve"> 18 </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val="zh-CN"/>
        </w:rPr>
        <w:t>时</w:t>
      </w:r>
      <w:r>
        <w:rPr>
          <w:rFonts w:hint="eastAsia" w:ascii="仿宋_GB2312" w:hAnsi="仿宋_GB2312" w:eastAsia="仿宋_GB2312" w:cs="仿宋_GB2312"/>
          <w:sz w:val="28"/>
          <w:szCs w:val="28"/>
          <w:lang w:val="en-US" w:eastAsia="zh-CN"/>
        </w:rPr>
        <w:t>30分</w:t>
      </w:r>
      <w:r>
        <w:rPr>
          <w:rFonts w:hint="eastAsia" w:ascii="仿宋_GB2312" w:hAnsi="仿宋_GB2312" w:eastAsia="仿宋_GB2312" w:cs="仿宋_GB2312"/>
          <w:sz w:val="28"/>
          <w:szCs w:val="28"/>
          <w:lang w:val="zh-CN"/>
        </w:rPr>
        <w:t>，地点为济南鲍德冶金石灰石有限公司一楼会议室。</w:t>
      </w:r>
    </w:p>
    <w:p w14:paraId="31336A11">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2、逾期送达的、未送达指定地点的或者不按照竞争性谈判文件要求密封的投标文件，竞争性谈判人将予以拒收。</w:t>
      </w:r>
    </w:p>
    <w:p w14:paraId="490A89F8">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九、资格审查方式</w:t>
      </w:r>
    </w:p>
    <w:p w14:paraId="1DEBC5F6">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资格后审;开标后，评标委员会对投标单位的资质文件进行评审。评审合格的进入下一阶段评审；评审不合格的按废标处理，投标文件将被退回，标书费不退。</w:t>
      </w:r>
    </w:p>
    <w:p w14:paraId="721B299A">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十、发布公告的媒介</w:t>
      </w:r>
    </w:p>
    <w:p w14:paraId="696C9760">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本次竞争性谈判公告在济钢集团竞争性谈判采购与管理信息平台上发布。</w:t>
      </w:r>
    </w:p>
    <w:p w14:paraId="36F8CC57">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十一、联系方式</w:t>
      </w:r>
    </w:p>
    <w:p w14:paraId="1E905193">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谈判联系人：郑女士</w:t>
      </w:r>
      <w:r>
        <w:rPr>
          <w:rFonts w:ascii="仿宋_GB2312" w:hAnsi="仿宋_GB2312" w:eastAsia="仿宋_GB2312" w:cs="仿宋_GB2312"/>
          <w:sz w:val="28"/>
          <w:szCs w:val="28"/>
          <w:lang w:val="zh-CN"/>
        </w:rPr>
        <w:t xml:space="preserve">   联系电话：83719629</w:t>
      </w:r>
      <w:r>
        <w:rPr>
          <w:rFonts w:hint="eastAsia" w:ascii="仿宋_GB2312" w:hAnsi="仿宋_GB2312" w:eastAsia="仿宋_GB2312" w:cs="仿宋_GB2312"/>
          <w:sz w:val="28"/>
          <w:szCs w:val="28"/>
          <w:lang w:val="en-US" w:eastAsia="zh-CN"/>
        </w:rPr>
        <w:t xml:space="preserve">  15098838165</w:t>
      </w:r>
      <w:r>
        <w:rPr>
          <w:rFonts w:ascii="仿宋_GB2312" w:hAnsi="仿宋_GB2312" w:eastAsia="仿宋_GB2312" w:cs="仿宋_GB2312"/>
          <w:sz w:val="28"/>
          <w:szCs w:val="28"/>
          <w:lang w:val="zh-CN"/>
        </w:rPr>
        <w:t>。</w:t>
      </w:r>
    </w:p>
    <w:p w14:paraId="7742E60D">
      <w:pPr>
        <w:spacing w:line="360" w:lineRule="auto"/>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业务（技术）联系人：</w:t>
      </w:r>
      <w:r>
        <w:rPr>
          <w:rFonts w:hint="eastAsia" w:ascii="仿宋_GB2312" w:hAnsi="仿宋_GB2312" w:eastAsia="仿宋_GB2312" w:cs="仿宋_GB2312"/>
          <w:sz w:val="28"/>
          <w:szCs w:val="28"/>
          <w:lang w:val="en-US" w:eastAsia="zh-CN"/>
        </w:rPr>
        <w:t>程</w:t>
      </w:r>
      <w:r>
        <w:rPr>
          <w:rFonts w:hint="eastAsia" w:ascii="仿宋_GB2312" w:hAnsi="仿宋_GB2312" w:eastAsia="仿宋_GB2312" w:cs="仿宋_GB2312"/>
          <w:sz w:val="28"/>
          <w:szCs w:val="28"/>
          <w:lang w:val="zh-CN"/>
        </w:rPr>
        <w:t>先生</w:t>
      </w:r>
      <w:r>
        <w:rPr>
          <w:rFonts w:ascii="仿宋_GB2312" w:hAnsi="仿宋_GB2312" w:eastAsia="仿宋_GB2312" w:cs="仿宋_GB2312"/>
          <w:sz w:val="28"/>
          <w:szCs w:val="28"/>
          <w:lang w:val="zh-CN"/>
        </w:rPr>
        <w:t xml:space="preserve">  联系电话：83719</w:t>
      </w:r>
      <w:r>
        <w:rPr>
          <w:rFonts w:hint="eastAsia" w:ascii="仿宋_GB2312" w:hAnsi="仿宋_GB2312" w:eastAsia="仿宋_GB2312" w:cs="仿宋_GB2312"/>
          <w:sz w:val="28"/>
          <w:szCs w:val="28"/>
          <w:lang w:val="en-US" w:eastAsia="zh-CN"/>
        </w:rPr>
        <w:t>619  15314119619</w:t>
      </w:r>
      <w:r>
        <w:rPr>
          <w:rFonts w:ascii="仿宋_GB2312" w:hAnsi="仿宋_GB2312" w:eastAsia="仿宋_GB2312" w:cs="仿宋_GB2312"/>
          <w:sz w:val="28"/>
          <w:szCs w:val="28"/>
          <w:lang w:val="zh-CN"/>
        </w:rPr>
        <w:t>。</w:t>
      </w:r>
    </w:p>
    <w:p w14:paraId="2029C01C">
      <w:pPr>
        <w:spacing w:line="360" w:lineRule="auto"/>
        <w:ind w:firstLine="562" w:firstLineChars="200"/>
        <w:rPr>
          <w:rFonts w:ascii="仿宋_GB2312" w:hAnsi="仿宋_GB2312" w:eastAsia="仿宋_GB2312" w:cs="仿宋_GB2312"/>
          <w:b/>
          <w:bCs/>
          <w:sz w:val="28"/>
          <w:szCs w:val="28"/>
          <w:lang w:val="zh-CN"/>
        </w:rPr>
      </w:pPr>
      <w:r>
        <w:rPr>
          <w:rFonts w:hint="eastAsia" w:ascii="仿宋_GB2312" w:hAnsi="仿宋_GB2312" w:eastAsia="仿宋_GB2312" w:cs="仿宋_GB2312"/>
          <w:b/>
          <w:bCs/>
          <w:sz w:val="28"/>
          <w:szCs w:val="28"/>
          <w:lang w:val="zh-CN"/>
        </w:rPr>
        <w:t>十二、竞争性谈判内容和其他要求以最终的竞争性谈判文件为准。</w:t>
      </w:r>
    </w:p>
    <w:p w14:paraId="29B0E944">
      <w:pPr>
        <w:spacing w:line="360" w:lineRule="auto"/>
        <w:ind w:firstLine="5320" w:firstLineChars="1900"/>
        <w:rPr>
          <w:rFonts w:ascii="仿宋_GB2312" w:hAnsi="仿宋_GB2312" w:eastAsia="仿宋_GB2312" w:cs="仿宋_GB2312"/>
          <w:sz w:val="28"/>
          <w:szCs w:val="28"/>
          <w:lang w:val="zh-CN"/>
        </w:rPr>
      </w:pPr>
    </w:p>
    <w:p w14:paraId="6CD0B312">
      <w:pPr>
        <w:spacing w:line="360" w:lineRule="auto"/>
        <w:jc w:val="right"/>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济南鲍德冶金石灰石有限公司</w:t>
      </w:r>
    </w:p>
    <w:p w14:paraId="3AB44041">
      <w:pPr>
        <w:spacing w:line="360" w:lineRule="auto"/>
        <w:ind w:right="560"/>
        <w:jc w:val="right"/>
        <w:rPr>
          <w:rFonts w:ascii="System" w:hAnsi="Times New Roman" w:eastAsia="System" w:cs="System"/>
          <w:b/>
          <w:bCs/>
          <w:kern w:val="0"/>
          <w:sz w:val="20"/>
          <w:szCs w:val="20"/>
          <w:lang w:val="zh-CN"/>
        </w:rPr>
      </w:pPr>
      <w:r>
        <w:rPr>
          <w:rFonts w:hint="eastAsia" w:ascii="仿宋_GB2312" w:hAnsi="仿宋_GB2312" w:eastAsia="仿宋_GB2312" w:cs="仿宋_GB2312"/>
          <w:sz w:val="28"/>
          <w:szCs w:val="28"/>
          <w:lang w:val="zh-CN"/>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zh-CN"/>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val="zh-CN"/>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lang w:val="zh-CN"/>
        </w:rPr>
        <w:t>日</w:t>
      </w:r>
      <w:r>
        <w:rPr>
          <w:rFonts w:hint="eastAsia" w:ascii="仿宋_GB2312" w:hAnsi="仿宋_GB2312" w:eastAsia="仿宋_GB2312" w:cs="仿宋_GB2312"/>
          <w:color w:val="FF0000"/>
          <w:sz w:val="28"/>
          <w:szCs w:val="28"/>
          <w:lang w:val="zh-CN"/>
        </w:rPr>
        <w:t xml:space="preserve"> </w:t>
      </w:r>
    </w:p>
    <w:p w14:paraId="68DCB7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11FFC"/>
    <w:rsid w:val="14C11FFC"/>
    <w:rsid w:val="740F4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1822</Words>
  <Characters>2037</Characters>
  <Lines>0</Lines>
  <Paragraphs>0</Paragraphs>
  <TotalTime>0</TotalTime>
  <ScaleCrop>false</ScaleCrop>
  <LinksUpToDate>false</LinksUpToDate>
  <CharactersWithSpaces>2085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2025-12-15T08:03:00Z</dcterms:created>
  <dc:creator>换个名字吧</dc:creator>
  <cp:lastModifiedBy>换个名字吧</cp:lastModifiedBy>
  <dcterms:modified xsi:type="dcterms:W3CDTF">2025-12-15T08:12:45Z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51C6C8A66086419EA275B4A630076A3A_11</vt:lpwstr>
  </property>
  <property fmtid="{D5CDD505-2E9C-101B-9397-08002B2CF9AE}" pid="4" name="KSOTemplateDocerSaveRecord">
    <vt:lpwstr>eyJoZGlkIjoiNjU1ZDBhZGYzNGE2NTBkYzJjZDhiNGY0OWI1NmQ1ZmQiLCJ1c2VySWQiOiI3MzAxOTgwNzUifQ==</vt:lpwstr>
  </property>
</Properties>
</file>